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B0433" w14:textId="7738102E" w:rsidR="003F7515" w:rsidRPr="00943064" w:rsidRDefault="003F7515" w:rsidP="00E70B11"/>
    <w:p w14:paraId="3CD19C43" w14:textId="50649161" w:rsidR="00B00071" w:rsidRPr="00943064" w:rsidRDefault="00B00071" w:rsidP="00E70B11"/>
    <w:p w14:paraId="3D2A0450" w14:textId="0FF4553F" w:rsidR="00B00071" w:rsidRPr="00943064" w:rsidRDefault="00B00071" w:rsidP="00E70B11"/>
    <w:tbl>
      <w:tblPr>
        <w:tblStyle w:val="Tablaconcuadrcula"/>
        <w:tblW w:w="9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2085"/>
        <w:gridCol w:w="3003"/>
        <w:gridCol w:w="142"/>
        <w:gridCol w:w="403"/>
        <w:gridCol w:w="412"/>
        <w:gridCol w:w="759"/>
        <w:gridCol w:w="1182"/>
      </w:tblGrid>
      <w:tr w:rsidR="00B92356" w:rsidRPr="00943064" w14:paraId="017A7102" w14:textId="77777777" w:rsidTr="7DAA2E50">
        <w:trPr>
          <w:trHeight w:val="2558"/>
        </w:trPr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FBE0B" w14:textId="192FF33D" w:rsidR="00B92356" w:rsidRPr="00943064" w:rsidRDefault="00B92356" w:rsidP="004A72D7">
            <w:pPr>
              <w:spacing w:before="120"/>
              <w:jc w:val="center"/>
            </w:pPr>
          </w:p>
        </w:tc>
      </w:tr>
      <w:tr w:rsidR="003C52DC" w:rsidRPr="00943064" w14:paraId="6334C291" w14:textId="77777777" w:rsidTr="7DAA2E50">
        <w:trPr>
          <w:trHeight w:val="503"/>
        </w:trPr>
        <w:tc>
          <w:tcPr>
            <w:tcW w:w="9070" w:type="dxa"/>
            <w:gridSpan w:val="8"/>
            <w:tcBorders>
              <w:top w:val="nil"/>
              <w:left w:val="nil"/>
              <w:bottom w:val="thinThickLargeGap" w:sz="12" w:space="0" w:color="2F5496" w:themeColor="accent1" w:themeShade="BF"/>
              <w:right w:val="nil"/>
            </w:tcBorders>
            <w:vAlign w:val="center"/>
          </w:tcPr>
          <w:p w14:paraId="44B4B29B" w14:textId="77777777" w:rsidR="003C52DC" w:rsidRPr="00943064" w:rsidRDefault="003C52DC" w:rsidP="004A72D7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1885" w:rsidRPr="00943064" w14:paraId="7EEBB446" w14:textId="77777777" w:rsidTr="7DAA2E50">
        <w:trPr>
          <w:trHeight w:val="503"/>
        </w:trPr>
        <w:tc>
          <w:tcPr>
            <w:tcW w:w="9070" w:type="dxa"/>
            <w:gridSpan w:val="8"/>
            <w:tcBorders>
              <w:top w:val="thinThickLargeGap" w:sz="12" w:space="0" w:color="2F5496" w:themeColor="accent1" w:themeShade="BF"/>
              <w:left w:val="thinThickLargeGap" w:sz="12" w:space="0" w:color="2F5496" w:themeColor="accent1" w:themeShade="BF"/>
              <w:bottom w:val="single" w:sz="4" w:space="0" w:color="2F5496" w:themeColor="accent1" w:themeShade="BF"/>
              <w:right w:val="thickThinLargeGap" w:sz="12" w:space="0" w:color="2F5496" w:themeColor="accent1" w:themeShade="BF"/>
            </w:tcBorders>
            <w:vAlign w:val="center"/>
          </w:tcPr>
          <w:p w14:paraId="3F38BE5C" w14:textId="0A63AF0A" w:rsidR="008B1885" w:rsidRPr="00943064" w:rsidRDefault="008B1F6F" w:rsidP="004A72D7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TITULO</w:t>
            </w:r>
          </w:p>
        </w:tc>
      </w:tr>
      <w:tr w:rsidR="009336B3" w:rsidRPr="00943064" w14:paraId="0BA3D46C" w14:textId="77777777" w:rsidTr="7DAA2E50">
        <w:trPr>
          <w:trHeight w:val="502"/>
        </w:trPr>
        <w:tc>
          <w:tcPr>
            <w:tcW w:w="9070" w:type="dxa"/>
            <w:gridSpan w:val="8"/>
            <w:tcBorders>
              <w:top w:val="single" w:sz="4" w:space="0" w:color="2F5496" w:themeColor="accent1" w:themeShade="BF"/>
              <w:left w:val="thinThickLargeGap" w:sz="12" w:space="0" w:color="2F5496" w:themeColor="accent1" w:themeShade="BF"/>
              <w:bottom w:val="thickThinLargeGap" w:sz="12" w:space="0" w:color="2F5496" w:themeColor="accent1" w:themeShade="BF"/>
              <w:right w:val="thickThinLargeGap" w:sz="12" w:space="0" w:color="2F5496" w:themeColor="accent1" w:themeShade="BF"/>
            </w:tcBorders>
            <w:vAlign w:val="center"/>
          </w:tcPr>
          <w:p w14:paraId="1ECBCDD3" w14:textId="6AAFCE51" w:rsidR="009336B3" w:rsidRPr="00943064" w:rsidRDefault="008B1F6F" w:rsidP="00A300E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Criterios </w:t>
            </w:r>
            <w:r w:rsidR="008651E7">
              <w:rPr>
                <w:sz w:val="20"/>
                <w:szCs w:val="20"/>
              </w:rPr>
              <w:t>para</w:t>
            </w:r>
            <w:r>
              <w:rPr>
                <w:sz w:val="20"/>
                <w:szCs w:val="20"/>
              </w:rPr>
              <w:t xml:space="preserve"> </w:t>
            </w:r>
            <w:r w:rsidR="008013AD">
              <w:rPr>
                <w:sz w:val="20"/>
                <w:szCs w:val="20"/>
              </w:rPr>
              <w:t xml:space="preserve">la </w:t>
            </w:r>
            <w:r>
              <w:rPr>
                <w:sz w:val="20"/>
                <w:szCs w:val="20"/>
              </w:rPr>
              <w:t>Evaluación de Proveedores (Comunicación</w:t>
            </w:r>
            <w:r w:rsidR="008A7272">
              <w:rPr>
                <w:sz w:val="20"/>
                <w:szCs w:val="20"/>
              </w:rPr>
              <w:t xml:space="preserve"> WEB</w:t>
            </w:r>
            <w:r>
              <w:rPr>
                <w:sz w:val="20"/>
                <w:szCs w:val="20"/>
              </w:rPr>
              <w:t>)</w:t>
            </w:r>
          </w:p>
        </w:tc>
      </w:tr>
      <w:tr w:rsidR="00F95900" w:rsidRPr="00943064" w14:paraId="4D6254E6" w14:textId="77777777" w:rsidTr="7DAA2E50">
        <w:trPr>
          <w:trHeight w:val="205"/>
        </w:trPr>
        <w:tc>
          <w:tcPr>
            <w:tcW w:w="9070" w:type="dxa"/>
            <w:gridSpan w:val="8"/>
            <w:tcBorders>
              <w:top w:val="thickThinLargeGap" w:sz="12" w:space="0" w:color="2F5496" w:themeColor="accent1" w:themeShade="BF"/>
              <w:left w:val="nil"/>
              <w:bottom w:val="thinThickLargeGap" w:sz="12" w:space="0" w:color="2F5496" w:themeColor="accent1" w:themeShade="BF"/>
              <w:right w:val="nil"/>
            </w:tcBorders>
            <w:vAlign w:val="center"/>
          </w:tcPr>
          <w:p w14:paraId="535DB7D5" w14:textId="77777777" w:rsidR="00F95900" w:rsidRPr="00943064" w:rsidRDefault="00F95900" w:rsidP="00A300E7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1F6F" w:rsidRPr="00943064" w14:paraId="6AC66793" w14:textId="77777777" w:rsidTr="7DAA2E50">
        <w:trPr>
          <w:trHeight w:val="502"/>
        </w:trPr>
        <w:tc>
          <w:tcPr>
            <w:tcW w:w="1134" w:type="dxa"/>
            <w:tcBorders>
              <w:top w:val="thinThickLargeGap" w:sz="12" w:space="0" w:color="2F5496" w:themeColor="accent1" w:themeShade="BF"/>
              <w:left w:val="thinThickLargeGap" w:sz="12" w:space="0" w:color="2F5496" w:themeColor="accent1" w:themeShade="BF"/>
              <w:bottom w:val="thickThinLargeGap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77182F9" w14:textId="2CAF5A94" w:rsidR="003C52DC" w:rsidRPr="00943064" w:rsidRDefault="003C52DC" w:rsidP="003C52DC">
            <w:pPr>
              <w:spacing w:before="120"/>
              <w:jc w:val="center"/>
              <w:rPr>
                <w:sz w:val="20"/>
                <w:szCs w:val="20"/>
              </w:rPr>
            </w:pPr>
            <w:r w:rsidRPr="00943064">
              <w:rPr>
                <w:b/>
                <w:bCs/>
                <w:sz w:val="20"/>
                <w:szCs w:val="20"/>
              </w:rPr>
              <w:t>DOC COD</w:t>
            </w:r>
          </w:p>
        </w:tc>
        <w:tc>
          <w:tcPr>
            <w:tcW w:w="5245" w:type="dxa"/>
            <w:gridSpan w:val="2"/>
            <w:tcBorders>
              <w:top w:val="thinThickLargeGap" w:sz="12" w:space="0" w:color="2F5496" w:themeColor="accent1" w:themeShade="BF"/>
              <w:left w:val="single" w:sz="4" w:space="0" w:color="2F5496" w:themeColor="accent1" w:themeShade="BF"/>
              <w:bottom w:val="thickThinLargeGap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8BA6AAB" w14:textId="3F756528" w:rsidR="003C52DC" w:rsidRPr="00943064" w:rsidRDefault="00D2381F" w:rsidP="003C52DC">
            <w:pPr>
              <w:spacing w:before="120"/>
              <w:jc w:val="center"/>
              <w:rPr>
                <w:sz w:val="20"/>
                <w:szCs w:val="20"/>
              </w:rPr>
            </w:pPr>
            <w:r w:rsidRPr="00DB1896">
              <w:rPr>
                <w:sz w:val="20"/>
                <w:szCs w:val="20"/>
              </w:rPr>
              <w:t>240</w:t>
            </w:r>
            <w:r>
              <w:rPr>
                <w:sz w:val="20"/>
                <w:szCs w:val="20"/>
              </w:rPr>
              <w:t>808</w:t>
            </w:r>
            <w:r w:rsidR="00DB1896" w:rsidRPr="00DB1896">
              <w:rPr>
                <w:sz w:val="20"/>
                <w:szCs w:val="20"/>
              </w:rPr>
              <w:t>_APS_GNRAL_SIG_VA_CRITERIOS EVALUACI</w:t>
            </w:r>
            <w:r w:rsidR="00C06210">
              <w:rPr>
                <w:sz w:val="20"/>
                <w:szCs w:val="20"/>
              </w:rPr>
              <w:t>Ó</w:t>
            </w:r>
            <w:r w:rsidR="00DB1896" w:rsidRPr="00DB1896">
              <w:rPr>
                <w:sz w:val="20"/>
                <w:szCs w:val="20"/>
              </w:rPr>
              <w:t>N PROVEEDORES_R</w:t>
            </w:r>
            <w:r w:rsidR="0000576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thinThickLargeGap" w:sz="12" w:space="0" w:color="2F5496" w:themeColor="accent1" w:themeShade="BF"/>
              <w:left w:val="single" w:sz="4" w:space="0" w:color="2F5496" w:themeColor="accent1" w:themeShade="BF"/>
              <w:bottom w:val="thickThinLargeGap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C923741" w14:textId="5A302096" w:rsidR="003C52DC" w:rsidRPr="00943064" w:rsidRDefault="003C52DC" w:rsidP="003C52DC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943064">
              <w:rPr>
                <w:b/>
                <w:bCs/>
                <w:sz w:val="20"/>
                <w:szCs w:val="20"/>
              </w:rPr>
              <w:t>REV</w:t>
            </w:r>
          </w:p>
        </w:tc>
        <w:tc>
          <w:tcPr>
            <w:tcW w:w="422" w:type="dxa"/>
            <w:tcBorders>
              <w:top w:val="thinThickLargeGap" w:sz="12" w:space="0" w:color="2F5496" w:themeColor="accent1" w:themeShade="BF"/>
              <w:left w:val="single" w:sz="4" w:space="0" w:color="2F5496" w:themeColor="accent1" w:themeShade="BF"/>
              <w:bottom w:val="thickThinLargeGap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D2F1461" w14:textId="3E061F8F" w:rsidR="003C52DC" w:rsidRPr="00943064" w:rsidRDefault="00EA51CA" w:rsidP="003C52D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thinThickLargeGap" w:sz="12" w:space="0" w:color="2F5496" w:themeColor="accent1" w:themeShade="BF"/>
              <w:left w:val="single" w:sz="4" w:space="0" w:color="2F5496" w:themeColor="accent1" w:themeShade="BF"/>
              <w:bottom w:val="thickThinLargeGap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29ADE49" w14:textId="1C12A15E" w:rsidR="003C52DC" w:rsidRPr="00943064" w:rsidRDefault="008B1F6F" w:rsidP="003C52DC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182" w:type="dxa"/>
            <w:tcBorders>
              <w:top w:val="thinThickLargeGap" w:sz="12" w:space="0" w:color="2F5496" w:themeColor="accent1" w:themeShade="BF"/>
              <w:left w:val="single" w:sz="4" w:space="0" w:color="2F5496" w:themeColor="accent1" w:themeShade="BF"/>
              <w:bottom w:val="thickThinLargeGap" w:sz="12" w:space="0" w:color="2F5496" w:themeColor="accent1" w:themeShade="BF"/>
              <w:right w:val="thickThinLargeGap" w:sz="12" w:space="0" w:color="2F5496" w:themeColor="accent1" w:themeShade="BF"/>
            </w:tcBorders>
            <w:vAlign w:val="center"/>
          </w:tcPr>
          <w:p w14:paraId="3A1FA33E" w14:textId="27568539" w:rsidR="003C52DC" w:rsidRPr="00943064" w:rsidRDefault="00D2381F" w:rsidP="003C52D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BB2FE7" w:rsidRPr="00943064">
              <w:rPr>
                <w:sz w:val="20"/>
                <w:szCs w:val="20"/>
              </w:rPr>
              <w:t>/</w:t>
            </w:r>
            <w:r w:rsidRPr="0094306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="00BB2FE7" w:rsidRPr="00943064">
              <w:rPr>
                <w:sz w:val="20"/>
                <w:szCs w:val="20"/>
              </w:rPr>
              <w:t>/2024</w:t>
            </w:r>
          </w:p>
        </w:tc>
      </w:tr>
      <w:tr w:rsidR="008B1F6F" w:rsidRPr="00943064" w14:paraId="3B712EF7" w14:textId="77777777" w:rsidTr="7DAA2E50">
        <w:trPr>
          <w:trHeight w:val="502"/>
        </w:trPr>
        <w:tc>
          <w:tcPr>
            <w:tcW w:w="1134" w:type="dxa"/>
            <w:tcBorders>
              <w:top w:val="thickThinLargeGap" w:sz="12" w:space="0" w:color="2F5496" w:themeColor="accent1" w:themeShade="BF"/>
              <w:left w:val="nil"/>
              <w:bottom w:val="thinThickLargeGap" w:sz="12" w:space="0" w:color="2F5496" w:themeColor="accent1" w:themeShade="BF"/>
              <w:right w:val="nil"/>
            </w:tcBorders>
            <w:vAlign w:val="center"/>
          </w:tcPr>
          <w:p w14:paraId="0068A888" w14:textId="77777777" w:rsidR="00D1714F" w:rsidRPr="00943064" w:rsidRDefault="00D1714F" w:rsidP="00A300E7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thickThinLargeGap" w:sz="12" w:space="0" w:color="2F5496" w:themeColor="accent1" w:themeShade="BF"/>
              <w:left w:val="nil"/>
              <w:bottom w:val="thinThickLargeGap" w:sz="12" w:space="0" w:color="2F5496" w:themeColor="accent1" w:themeShade="BF"/>
              <w:right w:val="nil"/>
            </w:tcBorders>
            <w:vAlign w:val="center"/>
          </w:tcPr>
          <w:p w14:paraId="4A162726" w14:textId="77777777" w:rsidR="00D1714F" w:rsidRPr="00943064" w:rsidRDefault="00D1714F" w:rsidP="00A300E7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4"/>
            <w:tcBorders>
              <w:top w:val="thickThinLargeGap" w:sz="12" w:space="0" w:color="2F5496" w:themeColor="accent1" w:themeShade="BF"/>
              <w:left w:val="nil"/>
              <w:bottom w:val="thinThickLargeGap" w:sz="12" w:space="0" w:color="2F5496" w:themeColor="accent1" w:themeShade="BF"/>
              <w:right w:val="nil"/>
            </w:tcBorders>
            <w:vAlign w:val="center"/>
          </w:tcPr>
          <w:p w14:paraId="4EE8AA0E" w14:textId="77777777" w:rsidR="00D1714F" w:rsidRPr="00943064" w:rsidRDefault="00D1714F" w:rsidP="00A300E7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thickThinLargeGap" w:sz="12" w:space="0" w:color="2F5496" w:themeColor="accent1" w:themeShade="BF"/>
              <w:left w:val="nil"/>
              <w:bottom w:val="thinThickLargeGap" w:sz="12" w:space="0" w:color="2F5496" w:themeColor="accent1" w:themeShade="BF"/>
              <w:right w:val="nil"/>
            </w:tcBorders>
            <w:vAlign w:val="center"/>
          </w:tcPr>
          <w:p w14:paraId="4ED0CDBA" w14:textId="77777777" w:rsidR="00D1714F" w:rsidRPr="00943064" w:rsidRDefault="00D1714F" w:rsidP="00A300E7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8B1F6F" w:rsidRPr="00943064" w14:paraId="0DC3B636" w14:textId="77777777" w:rsidTr="7DAA2E50">
        <w:trPr>
          <w:trHeight w:val="518"/>
        </w:trPr>
        <w:tc>
          <w:tcPr>
            <w:tcW w:w="3243" w:type="dxa"/>
            <w:gridSpan w:val="2"/>
            <w:tcBorders>
              <w:top w:val="thinThickLargeGap" w:sz="12" w:space="0" w:color="2F5496" w:themeColor="accent1" w:themeShade="BF"/>
              <w:left w:val="thinThickLargeGap" w:sz="12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EEBE0FF" w14:textId="1CE4E892" w:rsidR="00A63C0F" w:rsidRPr="00943064" w:rsidRDefault="008B1F6F" w:rsidP="00A300E7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EMISSIÓN</w:t>
            </w:r>
          </w:p>
        </w:tc>
        <w:tc>
          <w:tcPr>
            <w:tcW w:w="3244" w:type="dxa"/>
            <w:gridSpan w:val="2"/>
            <w:tcBorders>
              <w:top w:val="thinThickLargeGap" w:sz="12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A237486" w14:textId="63A9D795" w:rsidR="00A63C0F" w:rsidRPr="00943064" w:rsidRDefault="008B1F6F" w:rsidP="00A300E7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REVISIÓN</w:t>
            </w:r>
          </w:p>
        </w:tc>
        <w:tc>
          <w:tcPr>
            <w:tcW w:w="2583" w:type="dxa"/>
            <w:gridSpan w:val="4"/>
            <w:tcBorders>
              <w:top w:val="thinThickLargeGap" w:sz="12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ckThinLargeGap" w:sz="12" w:space="0" w:color="2F5496" w:themeColor="accent1" w:themeShade="BF"/>
            </w:tcBorders>
            <w:vAlign w:val="center"/>
          </w:tcPr>
          <w:p w14:paraId="30357484" w14:textId="4106325D" w:rsidR="00A63C0F" w:rsidRPr="00943064" w:rsidRDefault="008B1F6F" w:rsidP="00A300E7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APROBACIÓN</w:t>
            </w:r>
          </w:p>
        </w:tc>
      </w:tr>
      <w:tr w:rsidR="008B1F6F" w:rsidRPr="00943064" w14:paraId="39B35E9A" w14:textId="77777777" w:rsidTr="7DAA2E50">
        <w:trPr>
          <w:trHeight w:val="517"/>
        </w:trPr>
        <w:tc>
          <w:tcPr>
            <w:tcW w:w="3243" w:type="dxa"/>
            <w:gridSpan w:val="2"/>
            <w:tcBorders>
              <w:top w:val="single" w:sz="4" w:space="0" w:color="2F5496" w:themeColor="accent1" w:themeShade="BF"/>
              <w:left w:val="thinThickLargeGap" w:sz="12" w:space="0" w:color="2F5496" w:themeColor="accent1" w:themeShade="BF"/>
              <w:bottom w:val="thickThinLargeGap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37D7624" w14:textId="282A3444" w:rsidR="00A63C0F" w:rsidRPr="00943064" w:rsidRDefault="008651E7" w:rsidP="00A300E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</w:t>
            </w:r>
          </w:p>
        </w:tc>
        <w:tc>
          <w:tcPr>
            <w:tcW w:w="324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thickThinLargeGap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F2A18F3" w14:textId="13877CAC" w:rsidR="00A63C0F" w:rsidRPr="00943064" w:rsidRDefault="00C06210" w:rsidP="00A300E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DG/J</w:t>
            </w:r>
            <w:r w:rsidR="00220557">
              <w:rPr>
                <w:sz w:val="20"/>
                <w:szCs w:val="20"/>
              </w:rPr>
              <w:t>G</w:t>
            </w:r>
          </w:p>
        </w:tc>
        <w:tc>
          <w:tcPr>
            <w:tcW w:w="2583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thickThinLargeGap" w:sz="12" w:space="0" w:color="2F5496" w:themeColor="accent1" w:themeShade="BF"/>
              <w:right w:val="thickThinLargeGap" w:sz="12" w:space="0" w:color="2F5496" w:themeColor="accent1" w:themeShade="BF"/>
            </w:tcBorders>
            <w:vAlign w:val="center"/>
          </w:tcPr>
          <w:p w14:paraId="09631899" w14:textId="7EFBA3B2" w:rsidR="00A63C0F" w:rsidRPr="00943064" w:rsidRDefault="00FA6596" w:rsidP="00A300E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</w:t>
            </w:r>
          </w:p>
        </w:tc>
      </w:tr>
    </w:tbl>
    <w:p w14:paraId="69B3DACF" w14:textId="33DE15E9" w:rsidR="00B00071" w:rsidRPr="00943064" w:rsidRDefault="00B00071" w:rsidP="00E70B11"/>
    <w:p w14:paraId="126EFE2F" w14:textId="77777777" w:rsidR="00B00071" w:rsidRPr="00943064" w:rsidRDefault="00B00071" w:rsidP="00E70B11"/>
    <w:p w14:paraId="41EC64A5" w14:textId="77777777" w:rsidR="00044A98" w:rsidRPr="00943064" w:rsidRDefault="00044A98" w:rsidP="00044A98"/>
    <w:p w14:paraId="6ECFC3CF" w14:textId="77777777" w:rsidR="00044A98" w:rsidRPr="00943064" w:rsidRDefault="00044A98" w:rsidP="00044A98"/>
    <w:p w14:paraId="640BEBDF" w14:textId="77777777" w:rsidR="00044A98" w:rsidRPr="00943064" w:rsidRDefault="00044A98" w:rsidP="00044A98"/>
    <w:p w14:paraId="087B8D89" w14:textId="77777777" w:rsidR="00044A98" w:rsidRPr="00943064" w:rsidRDefault="00044A98" w:rsidP="00044A98"/>
    <w:p w14:paraId="767018CA" w14:textId="468B573F" w:rsidR="00864D91" w:rsidRPr="00943064" w:rsidRDefault="00864D91">
      <w:pPr>
        <w:spacing w:before="0" w:after="160" w:line="259" w:lineRule="auto"/>
        <w:jc w:val="left"/>
      </w:pPr>
      <w:r w:rsidRPr="00943064">
        <w:br w:type="page"/>
      </w:r>
    </w:p>
    <w:p w14:paraId="432AC589" w14:textId="6669D2B6" w:rsidR="00B00071" w:rsidRPr="00943064" w:rsidRDefault="00B25ACD" w:rsidP="006776A6">
      <w:pPr>
        <w:tabs>
          <w:tab w:val="left" w:pos="81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INDICE</w:t>
      </w:r>
    </w:p>
    <w:sdt>
      <w:sdtPr>
        <w:rPr>
          <w:b w:val="0"/>
          <w:caps w:val="0"/>
        </w:rPr>
        <w:id w:val="-11470418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CDE28E" w14:textId="2573B53C" w:rsidR="006A31CB" w:rsidRDefault="00B63BFB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r w:rsidRPr="00943064">
            <w:fldChar w:fldCharType="begin"/>
          </w:r>
          <w:r w:rsidRPr="00943064">
            <w:instrText xml:space="preserve"> TOC \o "1-3" \h \z \u </w:instrText>
          </w:r>
          <w:r w:rsidRPr="00943064">
            <w:fldChar w:fldCharType="separate"/>
          </w:r>
          <w:hyperlink w:anchor="_Toc169111527" w:history="1">
            <w:r w:rsidR="006A31CB" w:rsidRPr="000475A9">
              <w:rPr>
                <w:rStyle w:val="Hipervnculo"/>
                <w:noProof/>
              </w:rPr>
              <w:t>1</w:t>
            </w:r>
            <w:r w:rsidR="006A31C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="006A31CB" w:rsidRPr="000475A9">
              <w:rPr>
                <w:rStyle w:val="Hipervnculo"/>
                <w:noProof/>
              </w:rPr>
              <w:t>OBJETIVO.</w:t>
            </w:r>
            <w:r w:rsidR="006A31CB">
              <w:rPr>
                <w:noProof/>
                <w:webHidden/>
              </w:rPr>
              <w:tab/>
            </w:r>
            <w:r w:rsidR="006A31CB">
              <w:rPr>
                <w:noProof/>
                <w:webHidden/>
              </w:rPr>
              <w:fldChar w:fldCharType="begin"/>
            </w:r>
            <w:r w:rsidR="006A31CB">
              <w:rPr>
                <w:noProof/>
                <w:webHidden/>
              </w:rPr>
              <w:instrText xml:space="preserve"> PAGEREF _Toc169111527 \h </w:instrText>
            </w:r>
            <w:r w:rsidR="006A31CB">
              <w:rPr>
                <w:noProof/>
                <w:webHidden/>
              </w:rPr>
            </w:r>
            <w:r w:rsidR="006A31CB">
              <w:rPr>
                <w:noProof/>
                <w:webHidden/>
              </w:rPr>
              <w:fldChar w:fldCharType="separate"/>
            </w:r>
            <w:r w:rsidR="006A31CB">
              <w:rPr>
                <w:noProof/>
                <w:webHidden/>
              </w:rPr>
              <w:t>3</w:t>
            </w:r>
            <w:r w:rsidR="006A31CB">
              <w:rPr>
                <w:noProof/>
                <w:webHidden/>
              </w:rPr>
              <w:fldChar w:fldCharType="end"/>
            </w:r>
          </w:hyperlink>
        </w:p>
        <w:p w14:paraId="5C792FCF" w14:textId="39CFCD6B" w:rsidR="006A31CB" w:rsidRDefault="00CD1813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69111528" w:history="1">
            <w:r w:rsidR="006A31CB" w:rsidRPr="000475A9">
              <w:rPr>
                <w:rStyle w:val="Hipervnculo"/>
                <w:noProof/>
              </w:rPr>
              <w:t>2</w:t>
            </w:r>
            <w:r w:rsidR="006A31C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="006A31CB" w:rsidRPr="000475A9">
              <w:rPr>
                <w:rStyle w:val="Hipervnculo"/>
                <w:noProof/>
              </w:rPr>
              <w:t>CALIDAD ISO 9001</w:t>
            </w:r>
            <w:r w:rsidR="006A31CB">
              <w:rPr>
                <w:noProof/>
                <w:webHidden/>
              </w:rPr>
              <w:tab/>
            </w:r>
            <w:r w:rsidR="006A31CB">
              <w:rPr>
                <w:noProof/>
                <w:webHidden/>
              </w:rPr>
              <w:fldChar w:fldCharType="begin"/>
            </w:r>
            <w:r w:rsidR="006A31CB">
              <w:rPr>
                <w:noProof/>
                <w:webHidden/>
              </w:rPr>
              <w:instrText xml:space="preserve"> PAGEREF _Toc169111528 \h </w:instrText>
            </w:r>
            <w:r w:rsidR="006A31CB">
              <w:rPr>
                <w:noProof/>
                <w:webHidden/>
              </w:rPr>
            </w:r>
            <w:r w:rsidR="006A31CB">
              <w:rPr>
                <w:noProof/>
                <w:webHidden/>
              </w:rPr>
              <w:fldChar w:fldCharType="separate"/>
            </w:r>
            <w:r w:rsidR="006A31CB">
              <w:rPr>
                <w:noProof/>
                <w:webHidden/>
              </w:rPr>
              <w:t>3</w:t>
            </w:r>
            <w:r w:rsidR="006A31CB">
              <w:rPr>
                <w:noProof/>
                <w:webHidden/>
              </w:rPr>
              <w:fldChar w:fldCharType="end"/>
            </w:r>
          </w:hyperlink>
        </w:p>
        <w:p w14:paraId="302C0A51" w14:textId="1D53479C" w:rsidR="006A31CB" w:rsidRDefault="00CD1813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69111529" w:history="1">
            <w:r w:rsidR="006A31CB" w:rsidRPr="000475A9">
              <w:rPr>
                <w:rStyle w:val="Hipervnculo"/>
                <w:noProof/>
              </w:rPr>
              <w:t>3</w:t>
            </w:r>
            <w:r w:rsidR="006A31C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="006A31CB" w:rsidRPr="000475A9">
              <w:rPr>
                <w:rStyle w:val="Hipervnculo"/>
                <w:noProof/>
              </w:rPr>
              <w:t>MEDIO AMBIENTE ISO 14001</w:t>
            </w:r>
            <w:r w:rsidR="006A31CB">
              <w:rPr>
                <w:noProof/>
                <w:webHidden/>
              </w:rPr>
              <w:tab/>
            </w:r>
            <w:r w:rsidR="006A31CB">
              <w:rPr>
                <w:noProof/>
                <w:webHidden/>
              </w:rPr>
              <w:fldChar w:fldCharType="begin"/>
            </w:r>
            <w:r w:rsidR="006A31CB">
              <w:rPr>
                <w:noProof/>
                <w:webHidden/>
              </w:rPr>
              <w:instrText xml:space="preserve"> PAGEREF _Toc169111529 \h </w:instrText>
            </w:r>
            <w:r w:rsidR="006A31CB">
              <w:rPr>
                <w:noProof/>
                <w:webHidden/>
              </w:rPr>
            </w:r>
            <w:r w:rsidR="006A31CB">
              <w:rPr>
                <w:noProof/>
                <w:webHidden/>
              </w:rPr>
              <w:fldChar w:fldCharType="separate"/>
            </w:r>
            <w:r w:rsidR="006A31CB">
              <w:rPr>
                <w:noProof/>
                <w:webHidden/>
              </w:rPr>
              <w:t>3</w:t>
            </w:r>
            <w:r w:rsidR="006A31CB">
              <w:rPr>
                <w:noProof/>
                <w:webHidden/>
              </w:rPr>
              <w:fldChar w:fldCharType="end"/>
            </w:r>
          </w:hyperlink>
        </w:p>
        <w:p w14:paraId="24949168" w14:textId="25C73AC6" w:rsidR="006A31CB" w:rsidRDefault="00CD1813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69111530" w:history="1">
            <w:r w:rsidR="006A31CB" w:rsidRPr="000475A9">
              <w:rPr>
                <w:rStyle w:val="Hipervnculo"/>
                <w:noProof/>
              </w:rPr>
              <w:t>4</w:t>
            </w:r>
            <w:r w:rsidR="006A31C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="006A31CB" w:rsidRPr="000475A9">
              <w:rPr>
                <w:rStyle w:val="Hipervnculo"/>
                <w:noProof/>
              </w:rPr>
              <w:t>SEGURIDAD &amp; SALUD ISO 45001</w:t>
            </w:r>
            <w:r w:rsidR="006A31CB">
              <w:rPr>
                <w:noProof/>
                <w:webHidden/>
              </w:rPr>
              <w:tab/>
            </w:r>
            <w:r w:rsidR="006A31CB">
              <w:rPr>
                <w:noProof/>
                <w:webHidden/>
              </w:rPr>
              <w:fldChar w:fldCharType="begin"/>
            </w:r>
            <w:r w:rsidR="006A31CB">
              <w:rPr>
                <w:noProof/>
                <w:webHidden/>
              </w:rPr>
              <w:instrText xml:space="preserve"> PAGEREF _Toc169111530 \h </w:instrText>
            </w:r>
            <w:r w:rsidR="006A31CB">
              <w:rPr>
                <w:noProof/>
                <w:webHidden/>
              </w:rPr>
            </w:r>
            <w:r w:rsidR="006A31CB">
              <w:rPr>
                <w:noProof/>
                <w:webHidden/>
              </w:rPr>
              <w:fldChar w:fldCharType="separate"/>
            </w:r>
            <w:r w:rsidR="006A31CB">
              <w:rPr>
                <w:noProof/>
                <w:webHidden/>
              </w:rPr>
              <w:t>3</w:t>
            </w:r>
            <w:r w:rsidR="006A31CB">
              <w:rPr>
                <w:noProof/>
                <w:webHidden/>
              </w:rPr>
              <w:fldChar w:fldCharType="end"/>
            </w:r>
          </w:hyperlink>
        </w:p>
        <w:p w14:paraId="729AFD4C" w14:textId="530521CE" w:rsidR="006A31CB" w:rsidRDefault="00CD1813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69111531" w:history="1">
            <w:r w:rsidR="006A31CB" w:rsidRPr="000475A9">
              <w:rPr>
                <w:rStyle w:val="Hipervnculo"/>
                <w:noProof/>
              </w:rPr>
              <w:t>5</w:t>
            </w:r>
            <w:r w:rsidR="006A31C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="006A31CB" w:rsidRPr="000475A9">
              <w:rPr>
                <w:rStyle w:val="Hipervnculo"/>
                <w:noProof/>
              </w:rPr>
              <w:t>CRITERIOS DE EVALUACIÓN DE PROVEEDORES</w:t>
            </w:r>
            <w:r w:rsidR="006A31CB">
              <w:rPr>
                <w:noProof/>
                <w:webHidden/>
              </w:rPr>
              <w:tab/>
            </w:r>
            <w:r w:rsidR="006A31CB">
              <w:rPr>
                <w:noProof/>
                <w:webHidden/>
              </w:rPr>
              <w:fldChar w:fldCharType="begin"/>
            </w:r>
            <w:r w:rsidR="006A31CB">
              <w:rPr>
                <w:noProof/>
                <w:webHidden/>
              </w:rPr>
              <w:instrText xml:space="preserve"> PAGEREF _Toc169111531 \h </w:instrText>
            </w:r>
            <w:r w:rsidR="006A31CB">
              <w:rPr>
                <w:noProof/>
                <w:webHidden/>
              </w:rPr>
            </w:r>
            <w:r w:rsidR="006A31CB">
              <w:rPr>
                <w:noProof/>
                <w:webHidden/>
              </w:rPr>
              <w:fldChar w:fldCharType="separate"/>
            </w:r>
            <w:r w:rsidR="006A31CB">
              <w:rPr>
                <w:noProof/>
                <w:webHidden/>
              </w:rPr>
              <w:t>4</w:t>
            </w:r>
            <w:r w:rsidR="006A31CB">
              <w:rPr>
                <w:noProof/>
                <w:webHidden/>
              </w:rPr>
              <w:fldChar w:fldCharType="end"/>
            </w:r>
          </w:hyperlink>
        </w:p>
        <w:p w14:paraId="0203C97A" w14:textId="3EF4477E" w:rsidR="00B63BFB" w:rsidRPr="00943064" w:rsidRDefault="00B63BFB">
          <w:r w:rsidRPr="00943064">
            <w:rPr>
              <w:b/>
              <w:bCs/>
            </w:rPr>
            <w:fldChar w:fldCharType="end"/>
          </w:r>
        </w:p>
      </w:sdtContent>
    </w:sdt>
    <w:p w14:paraId="3388352D" w14:textId="77777777" w:rsidR="00B00071" w:rsidRPr="00943064" w:rsidRDefault="00B00071" w:rsidP="00E85EA7"/>
    <w:p w14:paraId="679BB1B7" w14:textId="77777777" w:rsidR="00B00071" w:rsidRPr="00943064" w:rsidRDefault="00B00071" w:rsidP="00E85EA7"/>
    <w:p w14:paraId="4E84F164" w14:textId="77777777" w:rsidR="00B00071" w:rsidRPr="00943064" w:rsidRDefault="00B00071" w:rsidP="00E85EA7">
      <w:pPr>
        <w:sectPr w:rsidR="00B00071" w:rsidRPr="00943064" w:rsidSect="0069795B">
          <w:headerReference w:type="default" r:id="rId11"/>
          <w:footerReference w:type="default" r:id="rId12"/>
          <w:pgSz w:w="11906" w:h="16838" w:code="9"/>
          <w:pgMar w:top="1985" w:right="1418" w:bottom="851" w:left="1418" w:header="851" w:footer="680" w:gutter="0"/>
          <w:cols w:space="708"/>
          <w:titlePg/>
          <w:docGrid w:linePitch="360"/>
        </w:sectPr>
      </w:pPr>
    </w:p>
    <w:p w14:paraId="0F2637A4" w14:textId="70530134" w:rsidR="00802A92" w:rsidRPr="00943064" w:rsidRDefault="00802A92" w:rsidP="00802A92">
      <w:pPr>
        <w:pStyle w:val="Ttulo1"/>
      </w:pPr>
      <w:bookmarkStart w:id="0" w:name="_Toc169111527"/>
      <w:r w:rsidRPr="00943064">
        <w:lastRenderedPageBreak/>
        <w:t>OBJETIVO</w:t>
      </w:r>
      <w:r w:rsidR="00BB7E70" w:rsidRPr="00943064">
        <w:t>.</w:t>
      </w:r>
      <w:bookmarkEnd w:id="0"/>
    </w:p>
    <w:p w14:paraId="51D41427" w14:textId="77777777" w:rsidR="00005764" w:rsidRPr="00005764" w:rsidRDefault="00005764" w:rsidP="00005764">
      <w:r w:rsidRPr="00005764">
        <w:t xml:space="preserve">El presente documento describe los criterios de evaluación de proveedores establecidos dentro del ámbito de las </w:t>
      </w:r>
      <w:proofErr w:type="spellStart"/>
      <w:r w:rsidRPr="00005764">
        <w:t>ISO`s</w:t>
      </w:r>
      <w:proofErr w:type="spellEnd"/>
      <w:r w:rsidRPr="00005764">
        <w:t xml:space="preserve"> 9001, 14001 y 45001 (Calidad, Medio Ambiente, Seguridad y Salud), para suministros de bienes, equipos y/o servicios. </w:t>
      </w:r>
    </w:p>
    <w:p w14:paraId="56F3249A" w14:textId="1B99FC04" w:rsidR="006A31CB" w:rsidRDefault="006A31CB" w:rsidP="00005764">
      <w:r>
        <w:t>S</w:t>
      </w:r>
      <w:r w:rsidR="0017308C">
        <w:t xml:space="preserve">e </w:t>
      </w:r>
      <w:r w:rsidR="009F2A93">
        <w:t>publica en</w:t>
      </w:r>
      <w:r w:rsidR="00E870EA">
        <w:t xml:space="preserve"> </w:t>
      </w:r>
      <w:r w:rsidR="009F2A93">
        <w:t xml:space="preserve">la </w:t>
      </w:r>
      <w:r w:rsidR="008E32C9">
        <w:t>página</w:t>
      </w:r>
      <w:r w:rsidR="00E870EA">
        <w:t xml:space="preserve"> web </w:t>
      </w:r>
      <w:r w:rsidR="008E32C9">
        <w:t>“</w:t>
      </w:r>
      <w:hyperlink r:id="rId13" w:history="1">
        <w:r w:rsidR="008E32C9" w:rsidRPr="00114B4D">
          <w:rPr>
            <w:rStyle w:val="Hipervnculo"/>
          </w:rPr>
          <w:t>www.alfanarenergia.com</w:t>
        </w:r>
      </w:hyperlink>
      <w:r w:rsidR="008E32C9">
        <w:t>”</w:t>
      </w:r>
      <w:r w:rsidR="00005764" w:rsidRPr="00005764">
        <w:t>.</w:t>
      </w:r>
    </w:p>
    <w:p w14:paraId="1ED4638F" w14:textId="02C074DB" w:rsidR="003B2F67" w:rsidRDefault="003B2F67" w:rsidP="003B2F67">
      <w:r w:rsidRPr="00005764">
        <w:t xml:space="preserve">Tiene la función de informar a los posibles proveedores acerca de los criterios que se tendrán en cuenta para las evaluaciones periódicas </w:t>
      </w:r>
      <w:proofErr w:type="spellStart"/>
      <w:r w:rsidR="005004D9">
        <w:t>ó</w:t>
      </w:r>
      <w:proofErr w:type="spellEnd"/>
      <w:r w:rsidRPr="00005764">
        <w:t xml:space="preserve"> continuas </w:t>
      </w:r>
      <w:r w:rsidR="005004D9">
        <w:t xml:space="preserve">y en </w:t>
      </w:r>
      <w:r w:rsidR="008013AD">
        <w:t>relación con el servicio que nos presten</w:t>
      </w:r>
      <w:r>
        <w:t xml:space="preserve">. </w:t>
      </w:r>
    </w:p>
    <w:p w14:paraId="3042B9CE" w14:textId="055DCF6B" w:rsidR="00D251B9" w:rsidRPr="00D251B9" w:rsidRDefault="00D251B9" w:rsidP="007A656B">
      <w:pPr>
        <w:pStyle w:val="Ttulo1"/>
        <w:rPr>
          <w:caps w:val="0"/>
        </w:rPr>
      </w:pPr>
      <w:bookmarkStart w:id="1" w:name="_Toc169087037"/>
      <w:bookmarkStart w:id="2" w:name="_Toc169111528"/>
      <w:r>
        <w:rPr>
          <w:caps w:val="0"/>
        </w:rPr>
        <w:t>CALIDAD</w:t>
      </w:r>
      <w:r w:rsidRPr="00D251B9">
        <w:rPr>
          <w:caps w:val="0"/>
        </w:rPr>
        <w:t xml:space="preserve"> ISO</w:t>
      </w:r>
      <w:r>
        <w:rPr>
          <w:caps w:val="0"/>
        </w:rPr>
        <w:t xml:space="preserve"> </w:t>
      </w:r>
      <w:r w:rsidRPr="00D251B9">
        <w:rPr>
          <w:caps w:val="0"/>
        </w:rPr>
        <w:t>9001</w:t>
      </w:r>
      <w:bookmarkEnd w:id="1"/>
      <w:bookmarkEnd w:id="2"/>
    </w:p>
    <w:p w14:paraId="25FD4FC3" w14:textId="15F484BA" w:rsidR="00D251B9" w:rsidRPr="00D251B9" w:rsidRDefault="00D251B9" w:rsidP="00D251B9">
      <w:r w:rsidRPr="00D251B9">
        <w:t xml:space="preserve">ALFANAR y los Proveedores que trabajan en su nombre, </w:t>
      </w:r>
      <w:r w:rsidR="00D65FFF">
        <w:t>procuraremos dar</w:t>
      </w:r>
      <w:r w:rsidR="00D65FFF" w:rsidRPr="00D65FFF">
        <w:t xml:space="preserve"> </w:t>
      </w:r>
      <w:r w:rsidR="00D65FFF">
        <w:t xml:space="preserve">en todo momento </w:t>
      </w:r>
      <w:r w:rsidR="005178CD">
        <w:t>un servicio de</w:t>
      </w:r>
      <w:r w:rsidRPr="00D251B9">
        <w:t xml:space="preserve"> calidad </w:t>
      </w:r>
      <w:r w:rsidR="005178CD">
        <w:t>a</w:t>
      </w:r>
      <w:r w:rsidR="005178CD" w:rsidRPr="00D251B9">
        <w:t xml:space="preserve"> </w:t>
      </w:r>
      <w:r w:rsidRPr="00D251B9">
        <w:t>nuestros proyectos, productos y/o servicios. Como tal, los proveedores que trabaj</w:t>
      </w:r>
      <w:r w:rsidR="00D65FFF">
        <w:t>e</w:t>
      </w:r>
      <w:r w:rsidRPr="00D251B9">
        <w:t>n en nuestro nombre est</w:t>
      </w:r>
      <w:r w:rsidR="00D65FFF">
        <w:t>ar</w:t>
      </w:r>
      <w:r w:rsidRPr="00D251B9">
        <w:t xml:space="preserve">án condicionados a: </w:t>
      </w:r>
    </w:p>
    <w:p w14:paraId="01E9B426" w14:textId="06C26FB8" w:rsidR="00D251B9" w:rsidRPr="00D251B9" w:rsidRDefault="00D251B9" w:rsidP="007A656B">
      <w:pPr>
        <w:pStyle w:val="Prrafodelista"/>
        <w:numPr>
          <w:ilvl w:val="0"/>
          <w:numId w:val="3"/>
        </w:numPr>
      </w:pPr>
      <w:r w:rsidRPr="00D251B9">
        <w:t xml:space="preserve">Cumplir con la legislación/normativa o reglamentos según corresponda; </w:t>
      </w:r>
    </w:p>
    <w:p w14:paraId="7DB0D424" w14:textId="29FEF8E4" w:rsidR="00D251B9" w:rsidRPr="00D251B9" w:rsidRDefault="00D251B9" w:rsidP="007A656B">
      <w:pPr>
        <w:pStyle w:val="Prrafodelista"/>
        <w:numPr>
          <w:ilvl w:val="0"/>
          <w:numId w:val="3"/>
        </w:numPr>
      </w:pPr>
      <w:r w:rsidRPr="00D251B9">
        <w:t>Cumplir con el Plan de Calidad, Planes de Inspección y ensayo, Procedimientos, documentos de Ingeniería y otros documentos aceptados por ALFANAR y que le sean de aplicación;</w:t>
      </w:r>
    </w:p>
    <w:p w14:paraId="4B0F723F" w14:textId="2AC629F4" w:rsidR="00732952" w:rsidRPr="00D251B9" w:rsidRDefault="00732952" w:rsidP="007A656B">
      <w:pPr>
        <w:pStyle w:val="Ttulo1"/>
        <w:rPr>
          <w:caps w:val="0"/>
        </w:rPr>
      </w:pPr>
      <w:bookmarkStart w:id="3" w:name="_Toc169111529"/>
      <w:r>
        <w:rPr>
          <w:caps w:val="0"/>
        </w:rPr>
        <w:t>MEDIO AMBIENTE</w:t>
      </w:r>
      <w:r w:rsidRPr="00D251B9">
        <w:rPr>
          <w:caps w:val="0"/>
        </w:rPr>
        <w:t xml:space="preserve"> ISO</w:t>
      </w:r>
      <w:r>
        <w:rPr>
          <w:caps w:val="0"/>
        </w:rPr>
        <w:t xml:space="preserve"> 14</w:t>
      </w:r>
      <w:r w:rsidRPr="00D251B9">
        <w:rPr>
          <w:caps w:val="0"/>
        </w:rPr>
        <w:t>001</w:t>
      </w:r>
      <w:bookmarkEnd w:id="3"/>
    </w:p>
    <w:p w14:paraId="3035B43D" w14:textId="4222B369" w:rsidR="002749D5" w:rsidRPr="002749D5" w:rsidRDefault="002749D5" w:rsidP="002749D5">
      <w:r w:rsidRPr="002749D5">
        <w:t>ALFANAR y los Proveedores que trabajan en su nombre, busca</w:t>
      </w:r>
      <w:r w:rsidR="005178CD">
        <w:t>re</w:t>
      </w:r>
      <w:r w:rsidRPr="002749D5">
        <w:t>mos minimizar los impactos que nuestros proyectos y sus actividades asociadas tienen en el medio ambiente en el que trabajamos. Como tal, nuestros proveedores est</w:t>
      </w:r>
      <w:r w:rsidR="00D65FFF">
        <w:t>ar</w:t>
      </w:r>
      <w:r w:rsidRPr="002749D5">
        <w:t xml:space="preserve">án obligados a: </w:t>
      </w:r>
    </w:p>
    <w:p w14:paraId="175046E1" w14:textId="77777777" w:rsidR="002749D5" w:rsidRPr="002749D5" w:rsidRDefault="002749D5" w:rsidP="007A656B">
      <w:pPr>
        <w:pStyle w:val="Prrafodelista"/>
        <w:numPr>
          <w:ilvl w:val="0"/>
          <w:numId w:val="3"/>
        </w:numPr>
      </w:pPr>
      <w:r w:rsidRPr="002749D5">
        <w:t>Cumplir con la normativa ambiental nacional, autonómica y local, según corresponda;</w:t>
      </w:r>
    </w:p>
    <w:p w14:paraId="7DBBDA7C" w14:textId="77777777" w:rsidR="002749D5" w:rsidRPr="002749D5" w:rsidRDefault="002749D5" w:rsidP="007A656B">
      <w:pPr>
        <w:pStyle w:val="Prrafodelista"/>
        <w:numPr>
          <w:ilvl w:val="0"/>
          <w:numId w:val="3"/>
        </w:numPr>
      </w:pPr>
      <w:r w:rsidRPr="002749D5">
        <w:t>Implementar las medidas de mitigación y corrección ambiental aplicables a sus actividades descritas en el Estudio de Impacto Ambiental (EIA) o documento análogo, el Plan de Monitoreo Ambiental (PVA) y la Declaración de Impacto Ambiental (DIA), según corresponda;</w:t>
      </w:r>
    </w:p>
    <w:p w14:paraId="3365BC46" w14:textId="77777777" w:rsidR="002749D5" w:rsidRPr="002749D5" w:rsidRDefault="002749D5" w:rsidP="002749D5">
      <w:r w:rsidRPr="002749D5">
        <w:t>Se valorará positivamente que el proveedor:</w:t>
      </w:r>
    </w:p>
    <w:p w14:paraId="60F4A4FE" w14:textId="77777777" w:rsidR="002749D5" w:rsidRPr="002749D5" w:rsidRDefault="002749D5" w:rsidP="007A656B">
      <w:pPr>
        <w:pStyle w:val="Prrafodelista"/>
        <w:numPr>
          <w:ilvl w:val="0"/>
          <w:numId w:val="3"/>
        </w:numPr>
      </w:pPr>
      <w:r w:rsidRPr="002749D5">
        <w:t>Esté certificado en ISO 14001 o certificación similar;</w:t>
      </w:r>
    </w:p>
    <w:p w14:paraId="246A7CC4" w14:textId="77777777" w:rsidR="002749D5" w:rsidRPr="002749D5" w:rsidRDefault="002749D5" w:rsidP="007A656B">
      <w:pPr>
        <w:pStyle w:val="Prrafodelista"/>
        <w:numPr>
          <w:ilvl w:val="0"/>
          <w:numId w:val="3"/>
        </w:numPr>
      </w:pPr>
      <w:r w:rsidRPr="002749D5">
        <w:t>Comparta los resultados de las últimas auditorías internas y externas;</w:t>
      </w:r>
    </w:p>
    <w:p w14:paraId="72062005" w14:textId="1E449B67" w:rsidR="00F96A64" w:rsidRPr="002749D5" w:rsidRDefault="002749D5" w:rsidP="006A31CB">
      <w:pPr>
        <w:pStyle w:val="Prrafodelista"/>
        <w:numPr>
          <w:ilvl w:val="0"/>
          <w:numId w:val="3"/>
        </w:numPr>
      </w:pPr>
      <w:r w:rsidRPr="002749D5">
        <w:t>Tenga una política ambiental o que se adhiera a nuestra política de SISTEMA INTEGRADO DE GESTIÓN (SIG)</w:t>
      </w:r>
      <w:r>
        <w:t xml:space="preserve"> de A</w:t>
      </w:r>
      <w:r w:rsidR="00F96A64">
        <w:t>LFANAR</w:t>
      </w:r>
      <w:r w:rsidRPr="002749D5">
        <w:t>.</w:t>
      </w:r>
    </w:p>
    <w:p w14:paraId="15BDCA55" w14:textId="571F87B0" w:rsidR="00F96A64" w:rsidRDefault="00F96A64" w:rsidP="00F96A64">
      <w:pPr>
        <w:pStyle w:val="Ttulo1"/>
        <w:rPr>
          <w:caps w:val="0"/>
        </w:rPr>
      </w:pPr>
      <w:bookmarkStart w:id="4" w:name="_Toc169111530"/>
      <w:r>
        <w:rPr>
          <w:caps w:val="0"/>
        </w:rPr>
        <w:t>SEGURIDAD &amp; SALUD</w:t>
      </w:r>
      <w:r w:rsidRPr="00D251B9">
        <w:rPr>
          <w:caps w:val="0"/>
        </w:rPr>
        <w:t xml:space="preserve"> ISO</w:t>
      </w:r>
      <w:r>
        <w:rPr>
          <w:caps w:val="0"/>
        </w:rPr>
        <w:t xml:space="preserve"> 45</w:t>
      </w:r>
      <w:r w:rsidRPr="00D251B9">
        <w:rPr>
          <w:caps w:val="0"/>
        </w:rPr>
        <w:t>001</w:t>
      </w:r>
      <w:bookmarkEnd w:id="4"/>
    </w:p>
    <w:p w14:paraId="0B3D70C1" w14:textId="54637391" w:rsidR="00F14DC9" w:rsidRPr="00F14DC9" w:rsidRDefault="00F14DC9" w:rsidP="00F14DC9">
      <w:r w:rsidRPr="00F14DC9">
        <w:t xml:space="preserve">ALFANAR y </w:t>
      </w:r>
      <w:r w:rsidR="00496A45">
        <w:t>sus</w:t>
      </w:r>
      <w:r w:rsidR="00496A45" w:rsidRPr="00F14DC9">
        <w:t xml:space="preserve"> </w:t>
      </w:r>
      <w:proofErr w:type="spellStart"/>
      <w:r w:rsidR="00496A45">
        <w:t>sub</w:t>
      </w:r>
      <w:r w:rsidRPr="00F14DC9">
        <w:t>proveedores</w:t>
      </w:r>
      <w:proofErr w:type="spellEnd"/>
      <w:r w:rsidRPr="00F14DC9">
        <w:t>, implementar</w:t>
      </w:r>
      <w:r w:rsidR="00496A45">
        <w:t>an</w:t>
      </w:r>
      <w:r w:rsidRPr="00F14DC9">
        <w:t xml:space="preserve"> </w:t>
      </w:r>
      <w:r w:rsidR="005178CD">
        <w:t xml:space="preserve">en todo momento </w:t>
      </w:r>
      <w:r w:rsidRPr="00F14DC9">
        <w:t>medidas para prevenir accidentes y evit</w:t>
      </w:r>
      <w:r w:rsidR="00F50BA2">
        <w:t>ará</w:t>
      </w:r>
      <w:r w:rsidRPr="00F14DC9">
        <w:t xml:space="preserve"> </w:t>
      </w:r>
      <w:r w:rsidR="005178CD">
        <w:t xml:space="preserve">el </w:t>
      </w:r>
      <w:r w:rsidRPr="00F14DC9">
        <w:t>deterioro de la salud de los trabajadores</w:t>
      </w:r>
      <w:r w:rsidR="00E738C8">
        <w:t xml:space="preserve"> </w:t>
      </w:r>
      <w:r w:rsidRPr="00F14DC9">
        <w:t xml:space="preserve">promoviendo espacios de trabajo más seguros. </w:t>
      </w:r>
    </w:p>
    <w:p w14:paraId="68DB3828" w14:textId="750D121A" w:rsidR="00711C94" w:rsidRDefault="00711C94" w:rsidP="00711C94">
      <w:pPr>
        <w:pStyle w:val="Ttulo1"/>
        <w:rPr>
          <w:caps w:val="0"/>
        </w:rPr>
      </w:pPr>
      <w:bookmarkStart w:id="5" w:name="_Toc169111531"/>
      <w:r>
        <w:rPr>
          <w:caps w:val="0"/>
        </w:rPr>
        <w:lastRenderedPageBreak/>
        <w:t>CRITERIOS DE EVALUACIÓN DE PROVEEDORES</w:t>
      </w:r>
      <w:bookmarkEnd w:id="5"/>
    </w:p>
    <w:p w14:paraId="0BC4095A" w14:textId="25A39A6B" w:rsidR="009E3528" w:rsidRPr="009E3528" w:rsidRDefault="009E3528" w:rsidP="009E3528">
      <w:r w:rsidRPr="009E3528">
        <w:t>Los proveedores s</w:t>
      </w:r>
      <w:r w:rsidR="005178CD">
        <w:t>erán</w:t>
      </w:r>
      <w:r w:rsidRPr="009E3528">
        <w:t xml:space="preserve"> evaluados continuamente, teniendo por cuenta la gestión de suministros y seguimientos periódicos. </w:t>
      </w:r>
    </w:p>
    <w:p w14:paraId="7AA76AFA" w14:textId="1067B265" w:rsidR="009E3528" w:rsidRPr="009E3528" w:rsidRDefault="009E3528" w:rsidP="009E3528">
      <w:r w:rsidRPr="009E3528">
        <w:t>Una vez al año, ALFANAR eval</w:t>
      </w:r>
      <w:r w:rsidR="005178CD">
        <w:t>uará</w:t>
      </w:r>
      <w:r w:rsidRPr="009E3528">
        <w:t xml:space="preserve"> a sus proveedores estratégicos de acuerdo con la siguiente ponderación:</w:t>
      </w:r>
    </w:p>
    <w:p w14:paraId="03BFFC40" w14:textId="2CA48A66" w:rsidR="009E3528" w:rsidRPr="009E3528" w:rsidRDefault="009E3528" w:rsidP="007A656B">
      <w:pPr>
        <w:pStyle w:val="Prrafodelista"/>
        <w:numPr>
          <w:ilvl w:val="0"/>
          <w:numId w:val="3"/>
        </w:numPr>
      </w:pPr>
      <w:r w:rsidRPr="009E3528">
        <w:t>Ponderación para la evaluación (0-100):</w:t>
      </w:r>
    </w:p>
    <w:p w14:paraId="773CC770" w14:textId="77777777" w:rsidR="009E3528" w:rsidRPr="009E3528" w:rsidRDefault="009E3528" w:rsidP="009E3528">
      <w:pPr>
        <w:pStyle w:val="Textoindependiente"/>
        <w:spacing w:before="241" w:line="264" w:lineRule="auto"/>
        <w:ind w:left="720" w:right="144"/>
        <w:jc w:val="both"/>
        <w:rPr>
          <w:rFonts w:eastAsiaTheme="minorHAnsi"/>
          <w:lang w:eastAsia="es-ES"/>
        </w:rPr>
      </w:pPr>
      <w:r w:rsidRPr="009E3528">
        <w:rPr>
          <w:rFonts w:eastAsiaTheme="minorHAnsi"/>
          <w:lang w:eastAsia="es-ES"/>
        </w:rPr>
        <w:t xml:space="preserve">0-25 puntos </w:t>
      </w:r>
      <w:r w:rsidRPr="009E3528">
        <w:rPr>
          <w:rFonts w:eastAsiaTheme="minorHAnsi"/>
          <w:b/>
          <w:bCs/>
          <w:lang w:eastAsia="es-ES"/>
        </w:rPr>
        <w:t>DEFICIENTE</w:t>
      </w:r>
    </w:p>
    <w:p w14:paraId="71BC099F" w14:textId="77777777" w:rsidR="009E3528" w:rsidRPr="009E3528" w:rsidRDefault="009E3528" w:rsidP="009E3528">
      <w:pPr>
        <w:pStyle w:val="Textoindependiente"/>
        <w:spacing w:before="241" w:line="264" w:lineRule="auto"/>
        <w:ind w:left="720" w:right="144"/>
        <w:jc w:val="both"/>
        <w:rPr>
          <w:rFonts w:eastAsiaTheme="minorHAnsi"/>
          <w:b/>
          <w:bCs/>
          <w:lang w:eastAsia="es-ES"/>
        </w:rPr>
      </w:pPr>
      <w:r w:rsidRPr="009E3528">
        <w:rPr>
          <w:rFonts w:eastAsiaTheme="minorHAnsi"/>
          <w:lang w:eastAsia="es-ES"/>
        </w:rPr>
        <w:t xml:space="preserve">26-50 puntos </w:t>
      </w:r>
      <w:r w:rsidRPr="009E3528">
        <w:rPr>
          <w:rFonts w:eastAsiaTheme="minorHAnsi"/>
          <w:b/>
          <w:bCs/>
          <w:lang w:eastAsia="es-ES"/>
        </w:rPr>
        <w:t>REGULAR</w:t>
      </w:r>
    </w:p>
    <w:p w14:paraId="55CA155E" w14:textId="77777777" w:rsidR="009E3528" w:rsidRPr="009E3528" w:rsidRDefault="009E3528" w:rsidP="009E3528">
      <w:pPr>
        <w:pStyle w:val="Textoindependiente"/>
        <w:spacing w:before="241" w:line="264" w:lineRule="auto"/>
        <w:ind w:left="720" w:right="144"/>
        <w:jc w:val="both"/>
        <w:rPr>
          <w:rFonts w:eastAsiaTheme="minorHAnsi"/>
          <w:lang w:eastAsia="es-ES"/>
        </w:rPr>
      </w:pPr>
      <w:r w:rsidRPr="009E3528">
        <w:rPr>
          <w:rFonts w:eastAsiaTheme="minorHAnsi"/>
          <w:lang w:eastAsia="es-ES"/>
        </w:rPr>
        <w:t xml:space="preserve">51-75 puntos </w:t>
      </w:r>
      <w:r w:rsidRPr="009E3528">
        <w:rPr>
          <w:rFonts w:eastAsiaTheme="minorHAnsi"/>
          <w:b/>
          <w:bCs/>
          <w:lang w:eastAsia="es-ES"/>
        </w:rPr>
        <w:t>BUENO</w:t>
      </w:r>
    </w:p>
    <w:p w14:paraId="44A293AF" w14:textId="77777777" w:rsidR="009E3528" w:rsidRPr="009E3528" w:rsidRDefault="009E3528" w:rsidP="007A656B">
      <w:pPr>
        <w:pStyle w:val="Textoindependiente"/>
        <w:numPr>
          <w:ilvl w:val="1"/>
          <w:numId w:val="5"/>
        </w:numPr>
        <w:spacing w:before="241" w:line="264" w:lineRule="auto"/>
        <w:ind w:right="144"/>
        <w:jc w:val="both"/>
        <w:rPr>
          <w:rFonts w:eastAsiaTheme="minorHAnsi"/>
          <w:b/>
          <w:bCs/>
          <w:lang w:eastAsia="es-ES"/>
        </w:rPr>
      </w:pPr>
      <w:r w:rsidRPr="009E3528">
        <w:rPr>
          <w:rFonts w:eastAsiaTheme="minorHAnsi"/>
          <w:lang w:eastAsia="es-ES"/>
        </w:rPr>
        <w:t xml:space="preserve">Puntos </w:t>
      </w:r>
      <w:r w:rsidRPr="009E3528">
        <w:rPr>
          <w:rFonts w:eastAsiaTheme="minorHAnsi"/>
          <w:b/>
          <w:bCs/>
          <w:lang w:eastAsia="es-ES"/>
        </w:rPr>
        <w:t>MUY BUENO</w:t>
      </w:r>
    </w:p>
    <w:p w14:paraId="2C0886EE" w14:textId="469DDE6E" w:rsidR="009E3528" w:rsidRPr="009E3528" w:rsidRDefault="009E3528" w:rsidP="007A656B">
      <w:pPr>
        <w:pStyle w:val="Prrafodelista"/>
        <w:numPr>
          <w:ilvl w:val="0"/>
          <w:numId w:val="3"/>
        </w:numPr>
      </w:pPr>
      <w:r w:rsidRPr="009E3528">
        <w:t xml:space="preserve">Formula Evaluación anual del Proveedor = </w:t>
      </w:r>
    </w:p>
    <w:p w14:paraId="5E2D1095" w14:textId="77777777" w:rsidR="009E3528" w:rsidRPr="009E3528" w:rsidRDefault="009E3528" w:rsidP="009E3528">
      <w:pPr>
        <w:pStyle w:val="Textoindependiente"/>
        <w:spacing w:before="241" w:line="264" w:lineRule="auto"/>
        <w:ind w:left="500" w:right="144"/>
        <w:jc w:val="both"/>
        <w:rPr>
          <w:rFonts w:asciiTheme="minorHAnsi" w:eastAsiaTheme="minorHAnsi" w:hAnsiTheme="minorHAnsi" w:cstheme="minorHAnsi"/>
          <w:b/>
          <w:bCs/>
          <w:lang w:eastAsia="es-ES"/>
        </w:rPr>
      </w:pPr>
      <w:r w:rsidRPr="009E3528">
        <w:rPr>
          <w:rFonts w:asciiTheme="minorHAnsi" w:eastAsiaTheme="minorHAnsi" w:hAnsiTheme="minorHAnsi" w:cstheme="minorHAnsi"/>
          <w:b/>
          <w:bCs/>
          <w:lang w:eastAsia="es-ES"/>
        </w:rPr>
        <w:t>40% * (CAL) + 5% * (MA) + 5% (SS) + 20% * TIEMPO DE ENTREGA + 10% * COSTES + 10% * POSTVENTA + 10% * ATENCIÓN TÉCNICA</w:t>
      </w:r>
    </w:p>
    <w:p w14:paraId="01E1FFD8" w14:textId="77777777" w:rsidR="009E3528" w:rsidRPr="003B02F5" w:rsidRDefault="009E3528" w:rsidP="003B02F5">
      <w:pPr>
        <w:rPr>
          <w:b/>
          <w:bCs/>
        </w:rPr>
      </w:pPr>
      <w:r w:rsidRPr="003B02F5">
        <w:rPr>
          <w:b/>
          <w:bCs/>
        </w:rPr>
        <w:t>Notas:</w:t>
      </w:r>
    </w:p>
    <w:p w14:paraId="5620C188" w14:textId="42D95349" w:rsidR="009E3528" w:rsidRPr="003B02F5" w:rsidRDefault="009E3528" w:rsidP="009E3528">
      <w:pPr>
        <w:pStyle w:val="Textoindependiente"/>
        <w:spacing w:before="241" w:line="264" w:lineRule="auto"/>
        <w:ind w:left="720" w:right="144"/>
        <w:jc w:val="both"/>
        <w:rPr>
          <w:rFonts w:eastAsiaTheme="minorHAnsi"/>
          <w:lang w:eastAsia="es-ES"/>
        </w:rPr>
      </w:pPr>
      <w:r w:rsidRPr="003B02F5">
        <w:rPr>
          <w:rFonts w:eastAsiaTheme="minorHAnsi"/>
          <w:lang w:eastAsia="es-ES"/>
        </w:rPr>
        <w:t>CAL: Calidad de suministro, servicio/Producto</w:t>
      </w:r>
      <w:r w:rsidR="006A519A">
        <w:rPr>
          <w:rFonts w:eastAsiaTheme="minorHAnsi"/>
          <w:lang w:eastAsia="es-ES"/>
        </w:rPr>
        <w:t>,</w:t>
      </w:r>
      <w:r w:rsidR="00F17CF2">
        <w:rPr>
          <w:rFonts w:eastAsiaTheme="minorHAnsi"/>
          <w:lang w:eastAsia="es-ES"/>
        </w:rPr>
        <w:t xml:space="preserve"> si dispone de certificación ISO9001 u otras relevantes (puntuación de cero si no dispone de certificado</w:t>
      </w:r>
      <w:r w:rsidR="00677D1B">
        <w:rPr>
          <w:rFonts w:eastAsiaTheme="minorHAnsi"/>
          <w:lang w:eastAsia="es-ES"/>
        </w:rPr>
        <w:t>s</w:t>
      </w:r>
      <w:r w:rsidR="00F17CF2">
        <w:rPr>
          <w:rFonts w:eastAsiaTheme="minorHAnsi"/>
          <w:lang w:eastAsia="es-ES"/>
        </w:rPr>
        <w:t>, 20 puntos si dispone de esta</w:t>
      </w:r>
      <w:r w:rsidR="00362A11">
        <w:rPr>
          <w:rFonts w:eastAsiaTheme="minorHAnsi"/>
          <w:lang w:eastAsia="es-ES"/>
        </w:rPr>
        <w:t>s</w:t>
      </w:r>
      <w:r w:rsidR="00F17CF2">
        <w:rPr>
          <w:rFonts w:eastAsiaTheme="minorHAnsi"/>
          <w:lang w:eastAsia="es-ES"/>
        </w:rPr>
        <w:t xml:space="preserve"> </w:t>
      </w:r>
      <w:r w:rsidR="00760EDD">
        <w:rPr>
          <w:rFonts w:eastAsiaTheme="minorHAnsi"/>
          <w:lang w:eastAsia="es-ES"/>
        </w:rPr>
        <w:t>certificaciones</w:t>
      </w:r>
      <w:r w:rsidR="00F17CF2">
        <w:rPr>
          <w:rFonts w:eastAsiaTheme="minorHAnsi"/>
          <w:lang w:eastAsia="es-ES"/>
        </w:rPr>
        <w:t>),</w:t>
      </w:r>
      <w:r w:rsidR="00362A11">
        <w:rPr>
          <w:rFonts w:eastAsiaTheme="minorHAnsi"/>
          <w:lang w:eastAsia="es-ES"/>
        </w:rPr>
        <w:t xml:space="preserve"> desarrollo del servicio/producto (puntuación </w:t>
      </w:r>
      <w:proofErr w:type="spellStart"/>
      <w:r w:rsidR="00677D1B">
        <w:rPr>
          <w:rFonts w:eastAsiaTheme="minorHAnsi"/>
          <w:lang w:eastAsia="es-ES"/>
        </w:rPr>
        <w:t>max</w:t>
      </w:r>
      <w:proofErr w:type="spellEnd"/>
      <w:r w:rsidR="00677D1B">
        <w:rPr>
          <w:rFonts w:eastAsiaTheme="minorHAnsi"/>
          <w:lang w:eastAsia="es-ES"/>
        </w:rPr>
        <w:t xml:space="preserve">. de </w:t>
      </w:r>
      <w:r w:rsidR="00362A11">
        <w:rPr>
          <w:rFonts w:eastAsiaTheme="minorHAnsi"/>
          <w:lang w:eastAsia="es-ES"/>
        </w:rPr>
        <w:t>30 puntos), cumplimiento norma</w:t>
      </w:r>
      <w:r w:rsidR="006A519A">
        <w:rPr>
          <w:rFonts w:eastAsiaTheme="minorHAnsi"/>
          <w:lang w:eastAsia="es-ES"/>
        </w:rPr>
        <w:t>/especificaciones</w:t>
      </w:r>
      <w:r w:rsidR="00362A11">
        <w:rPr>
          <w:rFonts w:eastAsiaTheme="minorHAnsi"/>
          <w:lang w:eastAsia="es-ES"/>
        </w:rPr>
        <w:t xml:space="preserve"> (puntuación</w:t>
      </w:r>
      <w:r w:rsidR="00677D1B">
        <w:rPr>
          <w:rFonts w:eastAsiaTheme="minorHAnsi"/>
          <w:lang w:eastAsia="es-ES"/>
        </w:rPr>
        <w:t xml:space="preserve"> </w:t>
      </w:r>
      <w:proofErr w:type="spellStart"/>
      <w:r w:rsidR="00677D1B">
        <w:rPr>
          <w:rFonts w:eastAsiaTheme="minorHAnsi"/>
          <w:lang w:eastAsia="es-ES"/>
        </w:rPr>
        <w:t>max</w:t>
      </w:r>
      <w:proofErr w:type="spellEnd"/>
      <w:r w:rsidR="00677D1B">
        <w:rPr>
          <w:rFonts w:eastAsiaTheme="minorHAnsi"/>
          <w:lang w:eastAsia="es-ES"/>
        </w:rPr>
        <w:t>. de</w:t>
      </w:r>
      <w:r w:rsidR="00362A11">
        <w:rPr>
          <w:rFonts w:eastAsiaTheme="minorHAnsi"/>
          <w:lang w:eastAsia="es-ES"/>
        </w:rPr>
        <w:t xml:space="preserve"> </w:t>
      </w:r>
      <w:r w:rsidR="006A519A">
        <w:rPr>
          <w:rFonts w:eastAsiaTheme="minorHAnsi"/>
          <w:lang w:eastAsia="es-ES"/>
        </w:rPr>
        <w:t>10</w:t>
      </w:r>
      <w:r w:rsidR="00362A11">
        <w:rPr>
          <w:rFonts w:eastAsiaTheme="minorHAnsi"/>
          <w:lang w:eastAsia="es-ES"/>
        </w:rPr>
        <w:t xml:space="preserve"> puntos),</w:t>
      </w:r>
      <w:r w:rsidR="002F7CAC">
        <w:rPr>
          <w:rFonts w:eastAsiaTheme="minorHAnsi"/>
          <w:lang w:eastAsia="es-ES"/>
        </w:rPr>
        <w:t xml:space="preserve"> documentación entregable (</w:t>
      </w:r>
      <w:r w:rsidR="00677D1B">
        <w:rPr>
          <w:rFonts w:eastAsiaTheme="minorHAnsi"/>
          <w:lang w:eastAsia="es-ES"/>
        </w:rPr>
        <w:t xml:space="preserve">puntuación </w:t>
      </w:r>
      <w:proofErr w:type="spellStart"/>
      <w:r w:rsidR="00677D1B">
        <w:rPr>
          <w:rFonts w:eastAsiaTheme="minorHAnsi"/>
          <w:lang w:eastAsia="es-ES"/>
        </w:rPr>
        <w:t>max</w:t>
      </w:r>
      <w:proofErr w:type="spellEnd"/>
      <w:r w:rsidR="00677D1B">
        <w:rPr>
          <w:rFonts w:eastAsiaTheme="minorHAnsi"/>
          <w:lang w:eastAsia="es-ES"/>
        </w:rPr>
        <w:t xml:space="preserve">. de </w:t>
      </w:r>
      <w:r w:rsidR="002F7CAC">
        <w:rPr>
          <w:rFonts w:eastAsiaTheme="minorHAnsi"/>
          <w:lang w:eastAsia="es-ES"/>
        </w:rPr>
        <w:t>10 puntos si documentaci</w:t>
      </w:r>
      <w:r w:rsidR="00677D1B">
        <w:rPr>
          <w:rFonts w:eastAsiaTheme="minorHAnsi"/>
          <w:lang w:eastAsia="es-ES"/>
        </w:rPr>
        <w:t>ó</w:t>
      </w:r>
      <w:r w:rsidR="002F7CAC">
        <w:rPr>
          <w:rFonts w:eastAsiaTheme="minorHAnsi"/>
          <w:lang w:eastAsia="es-ES"/>
        </w:rPr>
        <w:t>n entregable fue entregada correctamente),</w:t>
      </w:r>
      <w:r w:rsidR="006A519A">
        <w:rPr>
          <w:rFonts w:eastAsiaTheme="minorHAnsi"/>
          <w:lang w:eastAsia="es-ES"/>
        </w:rPr>
        <w:t xml:space="preserve"> reclamaciones (</w:t>
      </w:r>
      <w:r w:rsidR="00677D1B">
        <w:rPr>
          <w:rFonts w:eastAsiaTheme="minorHAnsi"/>
          <w:lang w:eastAsia="es-ES"/>
        </w:rPr>
        <w:t xml:space="preserve">puntuación máxima de </w:t>
      </w:r>
      <w:r w:rsidR="002F7CAC">
        <w:rPr>
          <w:rFonts w:eastAsiaTheme="minorHAnsi"/>
          <w:lang w:eastAsia="es-ES"/>
        </w:rPr>
        <w:t>20</w:t>
      </w:r>
      <w:r w:rsidR="006A519A">
        <w:rPr>
          <w:rFonts w:eastAsiaTheme="minorHAnsi"/>
          <w:lang w:eastAsia="es-ES"/>
        </w:rPr>
        <w:t xml:space="preserve"> puntos en caso de que no tenga ninguna reclamación</w:t>
      </w:r>
      <w:r w:rsidR="00677D1B">
        <w:rPr>
          <w:rFonts w:eastAsiaTheme="minorHAnsi"/>
          <w:lang w:eastAsia="es-ES"/>
        </w:rPr>
        <w:t xml:space="preserve"> del cliente</w:t>
      </w:r>
      <w:r w:rsidR="006A519A">
        <w:rPr>
          <w:rFonts w:eastAsiaTheme="minorHAnsi"/>
          <w:lang w:eastAsia="es-ES"/>
        </w:rPr>
        <w:t xml:space="preserve">) y </w:t>
      </w:r>
      <w:r w:rsidR="00760EDD">
        <w:rPr>
          <w:rFonts w:eastAsiaTheme="minorHAnsi"/>
          <w:lang w:eastAsia="es-ES"/>
        </w:rPr>
        <w:t xml:space="preserve">agilidad </w:t>
      </w:r>
      <w:r w:rsidR="006A519A">
        <w:rPr>
          <w:rFonts w:eastAsiaTheme="minorHAnsi"/>
          <w:lang w:eastAsia="es-ES"/>
        </w:rPr>
        <w:t xml:space="preserve">en las </w:t>
      </w:r>
      <w:r w:rsidR="00362A11">
        <w:rPr>
          <w:rFonts w:eastAsiaTheme="minorHAnsi"/>
          <w:lang w:eastAsia="es-ES"/>
        </w:rPr>
        <w:t xml:space="preserve">respuestas </w:t>
      </w:r>
      <w:r w:rsidR="00760EDD">
        <w:rPr>
          <w:rFonts w:eastAsiaTheme="minorHAnsi"/>
          <w:lang w:eastAsia="es-ES"/>
        </w:rPr>
        <w:t xml:space="preserve">(puntuación </w:t>
      </w:r>
      <w:r w:rsidR="00677D1B">
        <w:rPr>
          <w:rFonts w:eastAsiaTheme="minorHAnsi"/>
          <w:lang w:eastAsia="es-ES"/>
        </w:rPr>
        <w:t xml:space="preserve">máxima de </w:t>
      </w:r>
      <w:r w:rsidR="002F7CAC">
        <w:rPr>
          <w:rFonts w:eastAsiaTheme="minorHAnsi"/>
          <w:lang w:eastAsia="es-ES"/>
        </w:rPr>
        <w:t>10</w:t>
      </w:r>
      <w:r w:rsidR="00760EDD">
        <w:rPr>
          <w:rFonts w:eastAsiaTheme="minorHAnsi"/>
          <w:lang w:eastAsia="es-ES"/>
        </w:rPr>
        <w:t xml:space="preserve"> puntos)</w:t>
      </w:r>
      <w:r w:rsidR="002F7CAC">
        <w:rPr>
          <w:rFonts w:eastAsiaTheme="minorHAnsi"/>
          <w:lang w:eastAsia="es-ES"/>
        </w:rPr>
        <w:t>.</w:t>
      </w:r>
    </w:p>
    <w:p w14:paraId="41AD63DD" w14:textId="77777777" w:rsidR="009E3528" w:rsidRPr="003B02F5" w:rsidRDefault="009E3528" w:rsidP="009E3528">
      <w:pPr>
        <w:pStyle w:val="Textoindependiente"/>
        <w:spacing w:before="241" w:line="264" w:lineRule="auto"/>
        <w:ind w:left="720" w:right="144"/>
        <w:jc w:val="both"/>
        <w:rPr>
          <w:rFonts w:eastAsiaTheme="minorHAnsi"/>
          <w:lang w:eastAsia="es-ES"/>
        </w:rPr>
      </w:pPr>
      <w:r w:rsidRPr="003B02F5">
        <w:rPr>
          <w:rFonts w:eastAsiaTheme="minorHAnsi"/>
          <w:lang w:eastAsia="es-ES"/>
        </w:rPr>
        <w:t>MA: Si el proveedor dispone o no certificación ISO14001 (puntuación cero si no dispone de certificado, 100 puntos si dispone de esta certificación)</w:t>
      </w:r>
    </w:p>
    <w:p w14:paraId="33DCDD84" w14:textId="77777777" w:rsidR="009E3528" w:rsidRPr="003B02F5" w:rsidRDefault="009E3528" w:rsidP="009E3528">
      <w:pPr>
        <w:pStyle w:val="Textoindependiente"/>
        <w:spacing w:before="241" w:line="264" w:lineRule="auto"/>
        <w:ind w:left="720" w:right="144"/>
        <w:jc w:val="both"/>
        <w:rPr>
          <w:rFonts w:eastAsiaTheme="minorHAnsi"/>
          <w:lang w:eastAsia="es-ES"/>
        </w:rPr>
      </w:pPr>
      <w:r w:rsidRPr="003B02F5">
        <w:rPr>
          <w:rFonts w:eastAsiaTheme="minorHAnsi"/>
          <w:lang w:eastAsia="es-ES"/>
        </w:rPr>
        <w:t>SS: Si el proveedor dispone o no de certificación ISO45001 (puntuación cero si no dispone de certificado, 100 puntos si dispone de esta certificación)</w:t>
      </w:r>
    </w:p>
    <w:p w14:paraId="3B2AEEB0" w14:textId="77777777" w:rsidR="009E3528" w:rsidRPr="003B02F5" w:rsidRDefault="009E3528" w:rsidP="009E3528">
      <w:pPr>
        <w:pStyle w:val="Textoindependiente"/>
        <w:spacing w:before="241" w:line="264" w:lineRule="auto"/>
        <w:ind w:left="720" w:right="144"/>
        <w:jc w:val="both"/>
        <w:rPr>
          <w:rFonts w:eastAsiaTheme="minorHAnsi"/>
          <w:lang w:eastAsia="es-ES"/>
        </w:rPr>
      </w:pPr>
      <w:r w:rsidRPr="003B02F5">
        <w:rPr>
          <w:rFonts w:eastAsiaTheme="minorHAnsi"/>
          <w:lang w:eastAsia="es-ES"/>
        </w:rPr>
        <w:t>TIEMPO DE ENTREGA: Cumplimiento de plazos de entrega acordados con el cliente (0-100 puntos)</w:t>
      </w:r>
    </w:p>
    <w:p w14:paraId="7913B8B1" w14:textId="77777777" w:rsidR="009E3528" w:rsidRPr="003B02F5" w:rsidRDefault="009E3528" w:rsidP="009E3528">
      <w:pPr>
        <w:pStyle w:val="Textoindependiente"/>
        <w:spacing w:before="241" w:line="264" w:lineRule="auto"/>
        <w:ind w:left="720" w:right="144"/>
        <w:jc w:val="both"/>
        <w:rPr>
          <w:rFonts w:eastAsiaTheme="minorHAnsi"/>
          <w:lang w:eastAsia="es-ES"/>
        </w:rPr>
      </w:pPr>
      <w:r w:rsidRPr="003B02F5">
        <w:rPr>
          <w:rFonts w:eastAsiaTheme="minorHAnsi"/>
          <w:lang w:eastAsia="es-ES"/>
        </w:rPr>
        <w:t>COSTES: Cumplimiento de previsión inicial de costes con el mínimo de adicionales imprevistos a terminación (0-100 puntos)</w:t>
      </w:r>
    </w:p>
    <w:p w14:paraId="04A14794" w14:textId="7AB122DE" w:rsidR="009E3528" w:rsidRPr="003B02F5" w:rsidRDefault="009E3528" w:rsidP="009E3528">
      <w:pPr>
        <w:pStyle w:val="Textoindependiente"/>
        <w:spacing w:before="241" w:line="264" w:lineRule="auto"/>
        <w:ind w:left="720" w:right="144"/>
        <w:jc w:val="both"/>
        <w:rPr>
          <w:rFonts w:eastAsiaTheme="minorHAnsi"/>
          <w:lang w:eastAsia="es-ES"/>
        </w:rPr>
      </w:pPr>
      <w:r w:rsidRPr="003B02F5">
        <w:rPr>
          <w:rFonts w:eastAsiaTheme="minorHAnsi"/>
          <w:lang w:eastAsia="es-ES"/>
        </w:rPr>
        <w:t xml:space="preserve">POSVENTA: </w:t>
      </w:r>
      <w:r w:rsidR="005178CD">
        <w:rPr>
          <w:rFonts w:eastAsiaTheme="minorHAnsi"/>
          <w:lang w:eastAsia="es-ES"/>
        </w:rPr>
        <w:t>A</w:t>
      </w:r>
      <w:r w:rsidRPr="003B02F5">
        <w:rPr>
          <w:rFonts w:eastAsiaTheme="minorHAnsi"/>
          <w:lang w:eastAsia="es-ES"/>
        </w:rPr>
        <w:t xml:space="preserve">ctividades </w:t>
      </w:r>
      <w:r w:rsidR="005178CD">
        <w:rPr>
          <w:rFonts w:eastAsiaTheme="minorHAnsi"/>
          <w:lang w:eastAsia="es-ES"/>
        </w:rPr>
        <w:t>realiz</w:t>
      </w:r>
      <w:r w:rsidRPr="003B02F5">
        <w:rPr>
          <w:rFonts w:eastAsiaTheme="minorHAnsi"/>
          <w:lang w:eastAsia="es-ES"/>
        </w:rPr>
        <w:t>ad</w:t>
      </w:r>
      <w:r w:rsidR="005178CD">
        <w:rPr>
          <w:rFonts w:eastAsiaTheme="minorHAnsi"/>
          <w:lang w:eastAsia="es-ES"/>
        </w:rPr>
        <w:t>as</w:t>
      </w:r>
      <w:r w:rsidRPr="003B02F5">
        <w:rPr>
          <w:rFonts w:eastAsiaTheme="minorHAnsi"/>
          <w:lang w:eastAsia="es-ES"/>
        </w:rPr>
        <w:t xml:space="preserve"> por el Proveedor después de </w:t>
      </w:r>
      <w:r w:rsidR="005178CD">
        <w:rPr>
          <w:rFonts w:eastAsiaTheme="minorHAnsi"/>
          <w:lang w:eastAsia="es-ES"/>
        </w:rPr>
        <w:t xml:space="preserve">la </w:t>
      </w:r>
      <w:r w:rsidRPr="003B02F5">
        <w:rPr>
          <w:rFonts w:eastAsiaTheme="minorHAnsi"/>
          <w:lang w:eastAsia="es-ES"/>
        </w:rPr>
        <w:t>adqui</w:t>
      </w:r>
      <w:r w:rsidR="005178CD">
        <w:rPr>
          <w:rFonts w:eastAsiaTheme="minorHAnsi"/>
          <w:lang w:eastAsia="es-ES"/>
        </w:rPr>
        <w:t>sición</w:t>
      </w:r>
      <w:r w:rsidRPr="003B02F5">
        <w:rPr>
          <w:rFonts w:eastAsiaTheme="minorHAnsi"/>
          <w:lang w:eastAsia="es-ES"/>
        </w:rPr>
        <w:t xml:space="preserve"> </w:t>
      </w:r>
      <w:r w:rsidR="005178CD">
        <w:rPr>
          <w:rFonts w:eastAsiaTheme="minorHAnsi"/>
          <w:lang w:eastAsia="es-ES"/>
        </w:rPr>
        <w:t xml:space="preserve">del </w:t>
      </w:r>
      <w:r w:rsidRPr="003B02F5">
        <w:rPr>
          <w:rFonts w:eastAsiaTheme="minorHAnsi"/>
          <w:lang w:eastAsia="es-ES"/>
        </w:rPr>
        <w:t xml:space="preserve">producto/servicio, tales como envío de encuestas de satisfacción del cliente, </w:t>
      </w:r>
      <w:r w:rsidRPr="003B02F5">
        <w:rPr>
          <w:rFonts w:eastAsiaTheme="minorHAnsi"/>
          <w:lang w:eastAsia="es-ES"/>
        </w:rPr>
        <w:lastRenderedPageBreak/>
        <w:t>garantías/devoluciones, s</w:t>
      </w:r>
      <w:r w:rsidR="00D65FFF">
        <w:rPr>
          <w:rFonts w:eastAsiaTheme="minorHAnsi"/>
          <w:lang w:eastAsia="es-ES"/>
        </w:rPr>
        <w:t>o</w:t>
      </w:r>
      <w:r w:rsidRPr="003B02F5">
        <w:rPr>
          <w:rFonts w:eastAsiaTheme="minorHAnsi"/>
          <w:lang w:eastAsia="es-ES"/>
        </w:rPr>
        <w:t>porte de uso/formación usuarios/actualizaciones y up-grades. (0-100 puntos)</w:t>
      </w:r>
    </w:p>
    <w:p w14:paraId="3A43B42F" w14:textId="06555AEB" w:rsidR="009E3528" w:rsidRDefault="009E3528" w:rsidP="009E3528">
      <w:pPr>
        <w:pStyle w:val="Textoindependiente"/>
        <w:spacing w:before="241" w:line="264" w:lineRule="auto"/>
        <w:ind w:left="720" w:right="144"/>
        <w:jc w:val="both"/>
        <w:rPr>
          <w:rFonts w:eastAsiaTheme="minorHAnsi"/>
          <w:lang w:eastAsia="es-ES"/>
        </w:rPr>
      </w:pPr>
      <w:r w:rsidRPr="003B02F5">
        <w:rPr>
          <w:rFonts w:eastAsiaTheme="minorHAnsi"/>
          <w:lang w:eastAsia="es-ES"/>
        </w:rPr>
        <w:t xml:space="preserve">ATENCIÓN TÉCNICA: Resolución de problemas técnicos </w:t>
      </w:r>
      <w:r w:rsidR="00D65FFF">
        <w:rPr>
          <w:rFonts w:eastAsiaTheme="minorHAnsi"/>
          <w:lang w:eastAsia="es-ES"/>
        </w:rPr>
        <w:t>una vez</w:t>
      </w:r>
      <w:r w:rsidR="00D65FFF" w:rsidRPr="003B02F5">
        <w:rPr>
          <w:rFonts w:eastAsiaTheme="minorHAnsi"/>
          <w:lang w:eastAsia="es-ES"/>
        </w:rPr>
        <w:t xml:space="preserve"> </w:t>
      </w:r>
      <w:r w:rsidR="00D65FFF">
        <w:rPr>
          <w:rFonts w:eastAsiaTheme="minorHAnsi"/>
          <w:lang w:eastAsia="es-ES"/>
        </w:rPr>
        <w:t>se haya</w:t>
      </w:r>
      <w:r w:rsidR="00D65FFF" w:rsidRPr="003B02F5">
        <w:rPr>
          <w:rFonts w:eastAsiaTheme="minorHAnsi"/>
          <w:lang w:eastAsia="es-ES"/>
        </w:rPr>
        <w:t xml:space="preserve"> </w:t>
      </w:r>
      <w:r w:rsidR="00D65FFF">
        <w:rPr>
          <w:rFonts w:eastAsiaTheme="minorHAnsi"/>
          <w:lang w:eastAsia="es-ES"/>
        </w:rPr>
        <w:t xml:space="preserve">entregado </w:t>
      </w:r>
      <w:r w:rsidRPr="003B02F5">
        <w:rPr>
          <w:rFonts w:eastAsiaTheme="minorHAnsi"/>
          <w:lang w:eastAsia="es-ES"/>
        </w:rPr>
        <w:t>el producto y/o servicio</w:t>
      </w:r>
      <w:r w:rsidR="00D65FFF">
        <w:rPr>
          <w:rFonts w:eastAsiaTheme="minorHAnsi"/>
          <w:lang w:eastAsia="es-ES"/>
        </w:rPr>
        <w:t xml:space="preserve"> a</w:t>
      </w:r>
      <w:r w:rsidR="00D65FFF" w:rsidRPr="00D65FFF">
        <w:rPr>
          <w:rFonts w:eastAsiaTheme="minorHAnsi"/>
          <w:lang w:eastAsia="es-ES"/>
        </w:rPr>
        <w:t xml:space="preserve"> </w:t>
      </w:r>
      <w:r w:rsidR="00D65FFF" w:rsidRPr="003B02F5">
        <w:rPr>
          <w:rFonts w:eastAsiaTheme="minorHAnsi"/>
          <w:lang w:eastAsia="es-ES"/>
        </w:rPr>
        <w:t>ALFANAR</w:t>
      </w:r>
      <w:r w:rsidRPr="003B02F5">
        <w:rPr>
          <w:rFonts w:eastAsiaTheme="minorHAnsi"/>
          <w:lang w:eastAsia="es-ES"/>
        </w:rPr>
        <w:t>. (0-100 puntos)</w:t>
      </w:r>
    </w:p>
    <w:p w14:paraId="32F67663" w14:textId="77777777" w:rsidR="006A31CB" w:rsidRPr="003B02F5" w:rsidRDefault="006A31CB" w:rsidP="009E3528">
      <w:pPr>
        <w:pStyle w:val="Textoindependiente"/>
        <w:spacing w:before="241" w:line="264" w:lineRule="auto"/>
        <w:ind w:left="720" w:right="144"/>
        <w:jc w:val="both"/>
        <w:rPr>
          <w:rFonts w:eastAsiaTheme="minorHAnsi"/>
          <w:lang w:eastAsia="es-ES"/>
        </w:rPr>
      </w:pPr>
    </w:p>
    <w:p w14:paraId="6C8A67F6" w14:textId="6D030E93" w:rsidR="009E3528" w:rsidRDefault="009E3528" w:rsidP="007A656B">
      <w:pPr>
        <w:pStyle w:val="Textoindependiente"/>
        <w:numPr>
          <w:ilvl w:val="0"/>
          <w:numId w:val="4"/>
        </w:numPr>
        <w:spacing w:before="241" w:line="264" w:lineRule="auto"/>
        <w:ind w:right="144"/>
        <w:jc w:val="both"/>
        <w:rPr>
          <w:rFonts w:eastAsiaTheme="minorHAnsi"/>
          <w:lang w:eastAsia="es-ES"/>
        </w:rPr>
      </w:pPr>
      <w:r w:rsidRPr="003B02F5">
        <w:rPr>
          <w:rFonts w:eastAsiaTheme="minorHAnsi"/>
          <w:lang w:eastAsia="es-ES"/>
        </w:rPr>
        <w:t>Categoría del Proveedor después de la Evaluación:</w:t>
      </w:r>
    </w:p>
    <w:p w14:paraId="55C365CC" w14:textId="77777777" w:rsidR="00DF0C08" w:rsidRDefault="00DF0C08" w:rsidP="00DF0C08">
      <w:pPr>
        <w:pStyle w:val="Textoindependiente"/>
        <w:spacing w:before="241" w:line="264" w:lineRule="auto"/>
        <w:ind w:left="500" w:right="144"/>
        <w:jc w:val="both"/>
        <w:rPr>
          <w:rFonts w:eastAsiaTheme="minorHAnsi"/>
          <w:lang w:eastAsia="es-ES"/>
        </w:rPr>
      </w:pPr>
    </w:p>
    <w:tbl>
      <w:tblPr>
        <w:tblW w:w="7367" w:type="dxa"/>
        <w:tblInd w:w="1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529"/>
        <w:gridCol w:w="1529"/>
        <w:gridCol w:w="1529"/>
        <w:gridCol w:w="1481"/>
      </w:tblGrid>
      <w:tr w:rsidR="00DF0C08" w:rsidRPr="007F7827" w14:paraId="5F9E6E86" w14:textId="77777777" w:rsidTr="0023439B">
        <w:trPr>
          <w:trHeight w:val="826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366E2" w14:textId="77777777" w:rsidR="00DF0C08" w:rsidRPr="00DF0C08" w:rsidRDefault="00DF0C08" w:rsidP="0023439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DF0C08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Categoría del Proveedor: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ED633" w14:textId="77777777" w:rsidR="00DF0C08" w:rsidRPr="00DF0C08" w:rsidRDefault="00DF0C08" w:rsidP="002343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F0C0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Tipo A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C4429" w14:textId="77777777" w:rsidR="00DF0C08" w:rsidRPr="00DF0C08" w:rsidRDefault="00DF0C08" w:rsidP="002343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F0C0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Tipo B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FA65F" w14:textId="77777777" w:rsidR="00DF0C08" w:rsidRPr="00DF0C08" w:rsidRDefault="00DF0C08" w:rsidP="002343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F0C0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Tipo C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E5D4F" w14:textId="77777777" w:rsidR="00DF0C08" w:rsidRPr="00DF0C08" w:rsidRDefault="00DF0C08" w:rsidP="002343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F0C0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Excluido</w:t>
            </w:r>
            <w:r w:rsidRPr="00DF0C0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-- Son Requeridas Acciones--</w:t>
            </w:r>
          </w:p>
        </w:tc>
      </w:tr>
      <w:tr w:rsidR="00DF0C08" w:rsidRPr="007F7827" w14:paraId="231B19E9" w14:textId="77777777" w:rsidTr="0023439B">
        <w:trPr>
          <w:trHeight w:val="141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2E7D0" w14:textId="77777777" w:rsidR="00DF0C08" w:rsidRPr="00DF0C08" w:rsidRDefault="00DF0C08" w:rsidP="0023439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DF0C08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RESULTADO FINAL (PUNTOS):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40E4B" w14:textId="77777777" w:rsidR="00DF0C08" w:rsidRPr="00DF0C08" w:rsidRDefault="00DF0C08" w:rsidP="002343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F0C0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90 - 100 (APROBADO)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55D7D" w14:textId="77777777" w:rsidR="00DF0C08" w:rsidRPr="00DF0C08" w:rsidRDefault="00DF0C08" w:rsidP="002343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F0C0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80 - 89 (APROBADO)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06333" w14:textId="77777777" w:rsidR="00DF0C08" w:rsidRPr="00DF0C08" w:rsidRDefault="00DF0C08" w:rsidP="0023439B">
            <w:pPr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18"/>
                <w:szCs w:val="18"/>
              </w:rPr>
            </w:pPr>
            <w:r w:rsidRPr="00DF0C08">
              <w:rPr>
                <w:rFonts w:asciiTheme="minorHAnsi" w:hAnsiTheme="minorHAnsi" w:cstheme="minorHAnsi"/>
                <w:b/>
                <w:bCs/>
                <w:color w:val="FFC000"/>
                <w:sz w:val="18"/>
                <w:szCs w:val="18"/>
              </w:rPr>
              <w:t>70 - 79 (APROBADO)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A4663" w14:textId="77777777" w:rsidR="00DF0C08" w:rsidRPr="00DF0C08" w:rsidRDefault="00DF0C08" w:rsidP="0023439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DF0C0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≤ 69</w:t>
            </w:r>
          </w:p>
        </w:tc>
      </w:tr>
    </w:tbl>
    <w:p w14:paraId="734E914F" w14:textId="4DD75D55" w:rsidR="004C2844" w:rsidRPr="004C2844" w:rsidRDefault="004C2844" w:rsidP="004C2844">
      <w:pPr>
        <w:pStyle w:val="Textoindependiente"/>
        <w:spacing w:before="241" w:line="264" w:lineRule="auto"/>
        <w:ind w:left="500" w:right="144"/>
        <w:jc w:val="both"/>
        <w:rPr>
          <w:rFonts w:eastAsiaTheme="minorHAnsi"/>
          <w:lang w:eastAsia="es-ES"/>
        </w:rPr>
      </w:pPr>
      <w:r w:rsidRPr="004C2844">
        <w:rPr>
          <w:rFonts w:eastAsiaTheme="minorHAnsi"/>
          <w:lang w:eastAsia="es-ES"/>
        </w:rPr>
        <w:t xml:space="preserve">Del resultado de esta evaluación de proveedores puede surgir la necesidad de actualizar el "Listado de Proveedores Homologados" eliminando </w:t>
      </w:r>
      <w:r w:rsidR="00D65FFF">
        <w:rPr>
          <w:rFonts w:eastAsiaTheme="minorHAnsi"/>
          <w:lang w:eastAsia="es-ES"/>
        </w:rPr>
        <w:t xml:space="preserve">a </w:t>
      </w:r>
      <w:r w:rsidRPr="004C2844">
        <w:rPr>
          <w:rFonts w:eastAsiaTheme="minorHAnsi"/>
          <w:lang w:eastAsia="es-ES"/>
        </w:rPr>
        <w:t xml:space="preserve">aquellos proveedores que no </w:t>
      </w:r>
      <w:r w:rsidR="00D65FFF">
        <w:rPr>
          <w:rFonts w:eastAsiaTheme="minorHAnsi"/>
          <w:lang w:eastAsia="es-ES"/>
        </w:rPr>
        <w:t xml:space="preserve">hayan </w:t>
      </w:r>
      <w:r w:rsidRPr="004C2844">
        <w:rPr>
          <w:rFonts w:eastAsiaTheme="minorHAnsi"/>
          <w:lang w:eastAsia="es-ES"/>
        </w:rPr>
        <w:t>super</w:t>
      </w:r>
      <w:r w:rsidR="00D65FFF">
        <w:rPr>
          <w:rFonts w:eastAsiaTheme="minorHAnsi"/>
          <w:lang w:eastAsia="es-ES"/>
        </w:rPr>
        <w:t>ado</w:t>
      </w:r>
      <w:r w:rsidRPr="004C2844">
        <w:rPr>
          <w:rFonts w:eastAsiaTheme="minorHAnsi"/>
          <w:lang w:eastAsia="es-ES"/>
        </w:rPr>
        <w:t xml:space="preserve"> la evaluación anual (≤ 69 puntos).</w:t>
      </w:r>
    </w:p>
    <w:p w14:paraId="28296673" w14:textId="3F1D172A" w:rsidR="004C2844" w:rsidRPr="004C2844" w:rsidRDefault="004C2844" w:rsidP="004C2844">
      <w:pPr>
        <w:pStyle w:val="Textoindependiente"/>
        <w:spacing w:before="241" w:line="264" w:lineRule="auto"/>
        <w:ind w:left="500" w:right="144"/>
        <w:jc w:val="both"/>
        <w:rPr>
          <w:rFonts w:eastAsiaTheme="minorHAnsi"/>
          <w:lang w:eastAsia="es-ES"/>
        </w:rPr>
      </w:pPr>
      <w:r w:rsidRPr="004C2844">
        <w:rPr>
          <w:rFonts w:eastAsiaTheme="minorHAnsi"/>
          <w:lang w:eastAsia="es-ES"/>
        </w:rPr>
        <w:t xml:space="preserve">El Proveedor excluido del listado de proveedores homologados deberá presentar evidencia de las acciones de mejora </w:t>
      </w:r>
      <w:r w:rsidR="00D65FFF">
        <w:rPr>
          <w:rFonts w:eastAsiaTheme="minorHAnsi"/>
          <w:lang w:eastAsia="es-ES"/>
        </w:rPr>
        <w:t xml:space="preserve">llevadas a cabo </w:t>
      </w:r>
      <w:r w:rsidRPr="004C2844">
        <w:rPr>
          <w:rFonts w:eastAsiaTheme="minorHAnsi"/>
          <w:lang w:eastAsia="es-ES"/>
        </w:rPr>
        <w:t xml:space="preserve">antes de ser </w:t>
      </w:r>
      <w:r w:rsidR="00D65FFF">
        <w:rPr>
          <w:rFonts w:eastAsiaTheme="minorHAnsi"/>
          <w:lang w:eastAsia="es-ES"/>
        </w:rPr>
        <w:t xml:space="preserve">incluido nuevamente en el </w:t>
      </w:r>
      <w:r w:rsidR="00D65FFF" w:rsidRPr="004C2844">
        <w:rPr>
          <w:rFonts w:eastAsiaTheme="minorHAnsi"/>
          <w:lang w:eastAsia="es-ES"/>
        </w:rPr>
        <w:t>"Listado de Proveedores Homologados"</w:t>
      </w:r>
      <w:r w:rsidR="00D65FFF">
        <w:rPr>
          <w:rFonts w:eastAsiaTheme="minorHAnsi"/>
          <w:lang w:eastAsia="es-ES"/>
        </w:rPr>
        <w:t xml:space="preserve"> de cara a ser invitado a participar en</w:t>
      </w:r>
      <w:r w:rsidRPr="004C2844">
        <w:rPr>
          <w:rFonts w:eastAsiaTheme="minorHAnsi"/>
          <w:lang w:eastAsia="es-ES"/>
        </w:rPr>
        <w:t xml:space="preserve"> nuevos procesos de </w:t>
      </w:r>
      <w:r w:rsidR="00D65FFF">
        <w:rPr>
          <w:rFonts w:eastAsiaTheme="minorHAnsi"/>
          <w:lang w:eastAsia="es-ES"/>
        </w:rPr>
        <w:t xml:space="preserve">petición de </w:t>
      </w:r>
      <w:r w:rsidRPr="004C2844">
        <w:rPr>
          <w:rFonts w:eastAsiaTheme="minorHAnsi"/>
          <w:lang w:eastAsia="es-ES"/>
        </w:rPr>
        <w:t>ofertas con ALFANAR.</w:t>
      </w:r>
    </w:p>
    <w:p w14:paraId="62EB4ADA" w14:textId="77777777" w:rsidR="00DF0C08" w:rsidRPr="003B02F5" w:rsidRDefault="00DF0C08" w:rsidP="00DF0C08">
      <w:pPr>
        <w:pStyle w:val="Textoindependiente"/>
        <w:spacing w:before="241" w:line="264" w:lineRule="auto"/>
        <w:ind w:left="500" w:right="144"/>
        <w:jc w:val="both"/>
        <w:rPr>
          <w:rFonts w:eastAsiaTheme="minorHAnsi"/>
          <w:lang w:eastAsia="es-ES"/>
        </w:rPr>
      </w:pPr>
    </w:p>
    <w:p w14:paraId="328E74FE" w14:textId="77777777" w:rsidR="00F96A64" w:rsidRPr="00F96A64" w:rsidRDefault="00F96A64" w:rsidP="00F96A64"/>
    <w:p w14:paraId="72AEA026" w14:textId="77777777" w:rsidR="00D251B9" w:rsidRPr="00D251B9" w:rsidRDefault="00D251B9" w:rsidP="00D251B9"/>
    <w:p w14:paraId="49D54336" w14:textId="77777777" w:rsidR="001772C1" w:rsidRDefault="001772C1" w:rsidP="00005764"/>
    <w:p w14:paraId="6A5B88F9" w14:textId="77777777" w:rsidR="001772C1" w:rsidRDefault="001772C1" w:rsidP="001772C1"/>
    <w:p w14:paraId="2A214372" w14:textId="77777777" w:rsidR="001772C1" w:rsidRDefault="001772C1" w:rsidP="001772C1"/>
    <w:p w14:paraId="05C00065" w14:textId="77777777" w:rsidR="001772C1" w:rsidRDefault="001772C1" w:rsidP="001772C1"/>
    <w:p w14:paraId="5735DE01" w14:textId="77777777" w:rsidR="001772C1" w:rsidRDefault="001772C1" w:rsidP="001772C1"/>
    <w:p w14:paraId="3C0D756D" w14:textId="77777777" w:rsidR="001772C1" w:rsidRDefault="001772C1" w:rsidP="001772C1"/>
    <w:p w14:paraId="35B37D4F" w14:textId="77777777" w:rsidR="001772C1" w:rsidRPr="00943064" w:rsidRDefault="001772C1" w:rsidP="001772C1"/>
    <w:tbl>
      <w:tblPr>
        <w:tblStyle w:val="Tablaconcuadrcula"/>
        <w:tblpPr w:leftFromText="141" w:rightFromText="141" w:vertAnchor="text" w:horzAnchor="margin" w:tblpXSpec="center" w:tblpY="307"/>
        <w:tblW w:w="0" w:type="auto"/>
        <w:tblBorders>
          <w:top w:val="thinThickLargeGap" w:sz="24" w:space="0" w:color="4472C4" w:themeColor="accent1"/>
          <w:left w:val="thinThickLargeGap" w:sz="24" w:space="0" w:color="4472C4" w:themeColor="accent1"/>
          <w:bottom w:val="thickThinLargeGap" w:sz="24" w:space="0" w:color="4472C4" w:themeColor="accent1"/>
          <w:right w:val="thickThinLargeGap" w:sz="2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998"/>
        <w:gridCol w:w="1998"/>
        <w:gridCol w:w="4000"/>
      </w:tblGrid>
      <w:tr w:rsidR="001772C1" w:rsidRPr="00943064" w14:paraId="0AC65375" w14:textId="77777777" w:rsidTr="0023439B">
        <w:trPr>
          <w:trHeight w:val="440"/>
        </w:trPr>
        <w:tc>
          <w:tcPr>
            <w:tcW w:w="7996" w:type="dxa"/>
            <w:gridSpan w:val="3"/>
            <w:shd w:val="clear" w:color="auto" w:fill="F2F2F2" w:themeFill="background1" w:themeFillShade="F2"/>
            <w:vAlign w:val="center"/>
          </w:tcPr>
          <w:p w14:paraId="41DB07C8" w14:textId="77777777" w:rsidR="001772C1" w:rsidRPr="00943064" w:rsidRDefault="001772C1" w:rsidP="0023439B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943064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  <w:t>CONTROL DE CAMBIOS</w:t>
            </w:r>
          </w:p>
        </w:tc>
      </w:tr>
      <w:tr w:rsidR="001772C1" w:rsidRPr="00943064" w14:paraId="1B16E0CF" w14:textId="77777777" w:rsidTr="0023439B">
        <w:trPr>
          <w:trHeight w:val="417"/>
        </w:trPr>
        <w:tc>
          <w:tcPr>
            <w:tcW w:w="1998" w:type="dxa"/>
            <w:vAlign w:val="center"/>
          </w:tcPr>
          <w:p w14:paraId="757C7423" w14:textId="77777777" w:rsidR="001772C1" w:rsidRPr="00943064" w:rsidRDefault="001772C1" w:rsidP="0023439B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43064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  <w:t>Versión</w:t>
            </w:r>
          </w:p>
        </w:tc>
        <w:tc>
          <w:tcPr>
            <w:tcW w:w="1998" w:type="dxa"/>
            <w:vAlign w:val="center"/>
          </w:tcPr>
          <w:p w14:paraId="42804B3D" w14:textId="77777777" w:rsidR="001772C1" w:rsidRPr="00943064" w:rsidRDefault="001772C1" w:rsidP="0023439B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43064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  <w:t>Fecha</w:t>
            </w:r>
          </w:p>
        </w:tc>
        <w:tc>
          <w:tcPr>
            <w:tcW w:w="4000" w:type="dxa"/>
            <w:vAlign w:val="center"/>
          </w:tcPr>
          <w:p w14:paraId="4ED34BFC" w14:textId="77777777" w:rsidR="001772C1" w:rsidRPr="00943064" w:rsidRDefault="001772C1" w:rsidP="0023439B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43064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  <w:t>Motivo del Cambio / Comentarios</w:t>
            </w:r>
          </w:p>
        </w:tc>
      </w:tr>
      <w:tr w:rsidR="001772C1" w:rsidRPr="00943064" w14:paraId="7D9BB34A" w14:textId="77777777" w:rsidTr="0023439B">
        <w:trPr>
          <w:trHeight w:val="440"/>
        </w:trPr>
        <w:tc>
          <w:tcPr>
            <w:tcW w:w="1998" w:type="dxa"/>
            <w:vAlign w:val="center"/>
          </w:tcPr>
          <w:p w14:paraId="57BB2C01" w14:textId="77777777" w:rsidR="001772C1" w:rsidRPr="00943064" w:rsidRDefault="001772C1" w:rsidP="0023439B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943064">
              <w:rPr>
                <w:rFonts w:asciiTheme="minorHAnsi" w:hAnsiTheme="minorHAnsi" w:cstheme="minorHAnsi"/>
              </w:rPr>
              <w:t>1.0</w:t>
            </w:r>
          </w:p>
        </w:tc>
        <w:tc>
          <w:tcPr>
            <w:tcW w:w="1998" w:type="dxa"/>
            <w:vAlign w:val="center"/>
          </w:tcPr>
          <w:p w14:paraId="42941527" w14:textId="76827B8D" w:rsidR="001772C1" w:rsidRPr="00943064" w:rsidRDefault="00EA51CA" w:rsidP="0023439B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</w:t>
            </w:r>
            <w:r w:rsidR="001772C1" w:rsidRPr="00943064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8</w:t>
            </w:r>
            <w:r w:rsidR="001772C1" w:rsidRPr="00943064">
              <w:rPr>
                <w:rFonts w:asciiTheme="minorHAnsi" w:hAnsiTheme="minorHAnsi" w:cstheme="minorHAnsi"/>
              </w:rPr>
              <w:t>/2024</w:t>
            </w:r>
          </w:p>
        </w:tc>
        <w:tc>
          <w:tcPr>
            <w:tcW w:w="4000" w:type="dxa"/>
            <w:vAlign w:val="center"/>
          </w:tcPr>
          <w:p w14:paraId="45FC5D7F" w14:textId="77777777" w:rsidR="001772C1" w:rsidRPr="00943064" w:rsidRDefault="001772C1" w:rsidP="0023439B">
            <w:pPr>
              <w:keepNext/>
              <w:spacing w:before="0"/>
              <w:jc w:val="center"/>
              <w:rPr>
                <w:rFonts w:asciiTheme="minorHAnsi" w:hAnsiTheme="minorHAnsi" w:cstheme="minorHAnsi"/>
              </w:rPr>
            </w:pPr>
            <w:r w:rsidRPr="00943064">
              <w:rPr>
                <w:rFonts w:asciiTheme="minorHAnsi" w:hAnsiTheme="minorHAnsi" w:cstheme="minorHAnsi"/>
              </w:rPr>
              <w:t>Versión inicial</w:t>
            </w:r>
          </w:p>
        </w:tc>
      </w:tr>
    </w:tbl>
    <w:p w14:paraId="76B5F32C" w14:textId="77777777" w:rsidR="001772C1" w:rsidRDefault="001772C1" w:rsidP="00005764"/>
    <w:p w14:paraId="2C12A0A3" w14:textId="77777777" w:rsidR="00EA51CA" w:rsidRDefault="00EA51CA" w:rsidP="00EA51CA"/>
    <w:p w14:paraId="3AEBF55F" w14:textId="09310A8B" w:rsidR="00EA51CA" w:rsidRPr="00EA51CA" w:rsidRDefault="00EA51CA" w:rsidP="00EA51CA">
      <w:pPr>
        <w:tabs>
          <w:tab w:val="left" w:pos="6765"/>
        </w:tabs>
      </w:pPr>
      <w:r>
        <w:tab/>
      </w:r>
    </w:p>
    <w:sectPr w:rsidR="00EA51CA" w:rsidRPr="00EA51CA" w:rsidSect="0069795B">
      <w:pgSz w:w="11906" w:h="16838" w:code="9"/>
      <w:pgMar w:top="1985" w:right="1418" w:bottom="851" w:left="1418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4E0ED" w14:textId="77777777" w:rsidR="003A3142" w:rsidRPr="00943064" w:rsidRDefault="003A3142" w:rsidP="000C1847">
      <w:r w:rsidRPr="00943064">
        <w:separator/>
      </w:r>
    </w:p>
  </w:endnote>
  <w:endnote w:type="continuationSeparator" w:id="0">
    <w:p w14:paraId="0B9B70D4" w14:textId="77777777" w:rsidR="003A3142" w:rsidRPr="00943064" w:rsidRDefault="003A3142" w:rsidP="000C1847">
      <w:r w:rsidRPr="0094306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14877" w14:textId="749ED0ED" w:rsidR="0035308C" w:rsidRPr="00D2381F" w:rsidRDefault="0035308C" w:rsidP="006A31CB">
    <w:pPr>
      <w:jc w:val="right"/>
      <w:rPr>
        <w:sz w:val="14"/>
        <w:szCs w:val="14"/>
        <w:lang w:val="en-US"/>
      </w:rPr>
    </w:pPr>
    <w:r w:rsidRPr="00D2381F">
      <w:rPr>
        <w:sz w:val="18"/>
        <w:szCs w:val="18"/>
        <w:lang w:val="en-US"/>
      </w:rPr>
      <w:t xml:space="preserve">Page </w:t>
    </w:r>
    <w:r w:rsidRPr="00943064">
      <w:rPr>
        <w:sz w:val="18"/>
        <w:szCs w:val="18"/>
      </w:rPr>
      <w:fldChar w:fldCharType="begin"/>
    </w:r>
    <w:r w:rsidRPr="00D2381F">
      <w:rPr>
        <w:sz w:val="18"/>
        <w:szCs w:val="18"/>
        <w:lang w:val="en-US"/>
      </w:rPr>
      <w:instrText>PAGE  \* Arabic  \* MERGEFORMAT</w:instrText>
    </w:r>
    <w:r w:rsidRPr="00943064">
      <w:rPr>
        <w:sz w:val="18"/>
        <w:szCs w:val="18"/>
      </w:rPr>
      <w:fldChar w:fldCharType="separate"/>
    </w:r>
    <w:r w:rsidRPr="00D2381F">
      <w:rPr>
        <w:sz w:val="18"/>
        <w:szCs w:val="18"/>
        <w:lang w:val="en-US"/>
      </w:rPr>
      <w:t>3</w:t>
    </w:r>
    <w:r w:rsidRPr="00943064">
      <w:rPr>
        <w:sz w:val="18"/>
        <w:szCs w:val="18"/>
      </w:rPr>
      <w:fldChar w:fldCharType="end"/>
    </w:r>
    <w:r w:rsidRPr="00D2381F">
      <w:rPr>
        <w:sz w:val="18"/>
        <w:szCs w:val="18"/>
        <w:lang w:val="en-US"/>
      </w:rPr>
      <w:t xml:space="preserve"> of </w:t>
    </w:r>
    <w:r w:rsidRPr="00943064">
      <w:rPr>
        <w:sz w:val="18"/>
        <w:szCs w:val="18"/>
      </w:rPr>
      <w:fldChar w:fldCharType="begin"/>
    </w:r>
    <w:r w:rsidRPr="00D2381F">
      <w:rPr>
        <w:sz w:val="18"/>
        <w:szCs w:val="18"/>
        <w:lang w:val="en-US"/>
      </w:rPr>
      <w:instrText>NUMPAGES  \* Arabic  \* MERGEFORMAT</w:instrText>
    </w:r>
    <w:r w:rsidRPr="00943064">
      <w:rPr>
        <w:sz w:val="18"/>
        <w:szCs w:val="18"/>
      </w:rPr>
      <w:fldChar w:fldCharType="separate"/>
    </w:r>
    <w:r w:rsidRPr="00D2381F">
      <w:rPr>
        <w:sz w:val="18"/>
        <w:szCs w:val="18"/>
        <w:lang w:val="en-US"/>
      </w:rPr>
      <w:t>16</w:t>
    </w:r>
    <w:r w:rsidRPr="00943064">
      <w:rPr>
        <w:sz w:val="18"/>
        <w:szCs w:val="18"/>
      </w:rPr>
      <w:fldChar w:fldCharType="end"/>
    </w:r>
    <w:r w:rsidRPr="00D2381F">
      <w:rPr>
        <w:sz w:val="18"/>
        <w:szCs w:val="18"/>
        <w:lang w:val="en-US"/>
      </w:rPr>
      <w:t xml:space="preserve">                               </w:t>
    </w:r>
    <w:r w:rsidRPr="00D2381F">
      <w:rPr>
        <w:sz w:val="14"/>
        <w:szCs w:val="14"/>
        <w:lang w:val="en-US"/>
      </w:rPr>
      <w:t xml:space="preserve"> </w:t>
    </w:r>
    <w:proofErr w:type="spellStart"/>
    <w:r w:rsidRPr="00D2381F">
      <w:rPr>
        <w:sz w:val="14"/>
        <w:szCs w:val="14"/>
        <w:lang w:val="en-US"/>
      </w:rPr>
      <w:t>R_</w:t>
    </w:r>
    <w:r w:rsidR="00D6481E" w:rsidRPr="00D2381F">
      <w:rPr>
        <w:sz w:val="14"/>
        <w:szCs w:val="14"/>
        <w:lang w:val="en-US"/>
      </w:rPr>
      <w:t>APS</w:t>
    </w:r>
    <w:r w:rsidRPr="00D2381F">
      <w:rPr>
        <w:sz w:val="14"/>
        <w:szCs w:val="14"/>
        <w:lang w:val="en-US"/>
      </w:rPr>
      <w:t>_MA_Formato</w:t>
    </w:r>
    <w:proofErr w:type="spellEnd"/>
    <w:r w:rsidRPr="00D2381F">
      <w:rPr>
        <w:sz w:val="14"/>
        <w:szCs w:val="14"/>
        <w:lang w:val="en-US"/>
      </w:rPr>
      <w:t xml:space="preserve"> Doc        FORMAT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F958C" w14:textId="77777777" w:rsidR="003A3142" w:rsidRPr="00943064" w:rsidRDefault="003A3142" w:rsidP="000C1847">
      <w:r w:rsidRPr="00943064">
        <w:separator/>
      </w:r>
    </w:p>
  </w:footnote>
  <w:footnote w:type="continuationSeparator" w:id="0">
    <w:p w14:paraId="5A653AF7" w14:textId="77777777" w:rsidR="003A3142" w:rsidRPr="00943064" w:rsidRDefault="003A3142" w:rsidP="000C1847">
      <w:r w:rsidRPr="0094306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thinThickLargeGap" w:sz="12" w:space="0" w:color="2F5496" w:themeColor="accent1" w:themeShade="BF"/>
        <w:left w:val="thinThickLargeGap" w:sz="12" w:space="0" w:color="2F5496" w:themeColor="accent1" w:themeShade="BF"/>
        <w:bottom w:val="thickThinLargeGap" w:sz="12" w:space="0" w:color="2F5496" w:themeColor="accent1" w:themeShade="BF"/>
        <w:right w:val="thickThinLargeGap" w:sz="12" w:space="0" w:color="2F5496" w:themeColor="accent1" w:themeShade="BF"/>
        <w:insideH w:val="single" w:sz="4" w:space="0" w:color="2F5496" w:themeColor="accent1" w:themeShade="BF"/>
        <w:insideV w:val="single" w:sz="4" w:space="0" w:color="2F5496" w:themeColor="accent1" w:themeShade="BF"/>
      </w:tblBorders>
      <w:tblLayout w:type="fixed"/>
      <w:tblLook w:val="04A0" w:firstRow="1" w:lastRow="0" w:firstColumn="1" w:lastColumn="0" w:noHBand="0" w:noVBand="1"/>
    </w:tblPr>
    <w:tblGrid>
      <w:gridCol w:w="2384"/>
      <w:gridCol w:w="3505"/>
      <w:gridCol w:w="687"/>
      <w:gridCol w:w="1183"/>
      <w:gridCol w:w="1235"/>
    </w:tblGrid>
    <w:tr w:rsidR="00574BEB" w:rsidRPr="00943064" w14:paraId="48BD57A8" w14:textId="77777777" w:rsidTr="00601052">
      <w:trPr>
        <w:trHeight w:val="503"/>
      </w:trPr>
      <w:tc>
        <w:tcPr>
          <w:tcW w:w="2384" w:type="dxa"/>
          <w:vMerge w:val="restart"/>
          <w:vAlign w:val="center"/>
        </w:tcPr>
        <w:p w14:paraId="1AE43D94" w14:textId="031472FB" w:rsidR="00BE180B" w:rsidRPr="00943064" w:rsidRDefault="00BE180B" w:rsidP="005F0F26">
          <w:pPr>
            <w:tabs>
              <w:tab w:val="center" w:pos="2552"/>
            </w:tabs>
            <w:spacing w:before="0"/>
            <w:contextualSpacing/>
            <w:outlineLvl w:val="0"/>
            <w:rPr>
              <w:rFonts w:ascii="Arial" w:hAnsi="Arial" w:cs="Arial"/>
              <w:b/>
              <w:sz w:val="18"/>
              <w:szCs w:val="20"/>
            </w:rPr>
          </w:pPr>
          <w:r w:rsidRPr="00943064">
            <w:rPr>
              <w:noProof/>
            </w:rPr>
            <w:drawing>
              <wp:inline distT="0" distB="0" distL="0" distR="0" wp14:anchorId="431B76EE" wp14:editId="4CE371DF">
                <wp:extent cx="1345684" cy="455801"/>
                <wp:effectExtent l="0" t="0" r="6985" b="1905"/>
                <wp:docPr id="53706982" name="Imagen 537069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55" t="13332" r="8333" b="26667"/>
                        <a:stretch/>
                      </pic:blipFill>
                      <pic:spPr bwMode="auto">
                        <a:xfrm>
                          <a:off x="0" y="0"/>
                          <a:ext cx="1651394" cy="559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0" w:type="dxa"/>
          <w:gridSpan w:val="4"/>
          <w:vAlign w:val="center"/>
        </w:tcPr>
        <w:p w14:paraId="411B2092" w14:textId="76F3F1E1" w:rsidR="00574BEB" w:rsidRPr="00DB1896" w:rsidRDefault="00DB1896" w:rsidP="0017339C">
          <w:pPr>
            <w:spacing w:before="120"/>
            <w:jc w:val="center"/>
            <w:rPr>
              <w:b/>
              <w:bCs/>
              <w:sz w:val="20"/>
              <w:szCs w:val="20"/>
            </w:rPr>
          </w:pPr>
          <w:r w:rsidRPr="00DB1896">
            <w:rPr>
              <w:b/>
              <w:bCs/>
              <w:sz w:val="20"/>
              <w:szCs w:val="20"/>
            </w:rPr>
            <w:t>Criterios de Evaluación de Proveedores (Comunicación WEB)</w:t>
          </w:r>
        </w:p>
      </w:tc>
    </w:tr>
    <w:tr w:rsidR="00574BEB" w:rsidRPr="00943064" w14:paraId="64D6DB77" w14:textId="77777777" w:rsidTr="00601052">
      <w:trPr>
        <w:trHeight w:val="502"/>
      </w:trPr>
      <w:tc>
        <w:tcPr>
          <w:tcW w:w="2384" w:type="dxa"/>
          <w:vMerge/>
          <w:vAlign w:val="center"/>
        </w:tcPr>
        <w:p w14:paraId="22D8A0F9" w14:textId="77777777" w:rsidR="00574BEB" w:rsidRPr="00943064" w:rsidRDefault="00574BEB" w:rsidP="0017339C">
          <w:pPr>
            <w:tabs>
              <w:tab w:val="center" w:pos="2552"/>
            </w:tabs>
            <w:spacing w:before="0"/>
            <w:contextualSpacing/>
            <w:jc w:val="left"/>
            <w:outlineLvl w:val="0"/>
            <w:rPr>
              <w:rFonts w:ascii="Arial Nova Light" w:hAnsi="Arial Nova Light"/>
              <w:b/>
              <w:color w:val="0067B4"/>
              <w:sz w:val="24"/>
            </w:rPr>
          </w:pPr>
        </w:p>
      </w:tc>
      <w:tc>
        <w:tcPr>
          <w:tcW w:w="3505" w:type="dxa"/>
          <w:vAlign w:val="center"/>
        </w:tcPr>
        <w:p w14:paraId="6BA43B3C" w14:textId="41FC3E5E" w:rsidR="00574BEB" w:rsidRPr="00943064" w:rsidRDefault="00DB1896" w:rsidP="0017339C">
          <w:pPr>
            <w:spacing w:before="120"/>
            <w:jc w:val="center"/>
            <w:rPr>
              <w:sz w:val="18"/>
              <w:szCs w:val="18"/>
            </w:rPr>
          </w:pPr>
          <w:r w:rsidRPr="00DB1896">
            <w:rPr>
              <w:sz w:val="18"/>
              <w:szCs w:val="18"/>
            </w:rPr>
            <w:t>240</w:t>
          </w:r>
          <w:r w:rsidR="00D2381F">
            <w:rPr>
              <w:sz w:val="18"/>
              <w:szCs w:val="18"/>
            </w:rPr>
            <w:t>808</w:t>
          </w:r>
          <w:r w:rsidRPr="00DB1896">
            <w:rPr>
              <w:sz w:val="18"/>
              <w:szCs w:val="18"/>
            </w:rPr>
            <w:t>_APS_GNRAL_SIG_VA_CRITERIOS EVALUACION PROVEEDORES_R</w:t>
          </w:r>
          <w:r w:rsidR="00EA51CA">
            <w:rPr>
              <w:sz w:val="18"/>
              <w:szCs w:val="18"/>
            </w:rPr>
            <w:t>1</w:t>
          </w:r>
        </w:p>
      </w:tc>
      <w:tc>
        <w:tcPr>
          <w:tcW w:w="687" w:type="dxa"/>
          <w:vAlign w:val="center"/>
        </w:tcPr>
        <w:p w14:paraId="16815147" w14:textId="4283FD85" w:rsidR="00574BEB" w:rsidRPr="00943064" w:rsidRDefault="00574BEB" w:rsidP="0017339C">
          <w:pPr>
            <w:spacing w:before="120"/>
            <w:jc w:val="center"/>
            <w:rPr>
              <w:sz w:val="18"/>
              <w:szCs w:val="18"/>
            </w:rPr>
          </w:pPr>
          <w:proofErr w:type="spellStart"/>
          <w:r w:rsidRPr="00943064">
            <w:rPr>
              <w:sz w:val="18"/>
              <w:szCs w:val="18"/>
            </w:rPr>
            <w:t>Rev</w:t>
          </w:r>
          <w:proofErr w:type="spellEnd"/>
          <w:r w:rsidRPr="00943064">
            <w:rPr>
              <w:sz w:val="18"/>
              <w:szCs w:val="18"/>
            </w:rPr>
            <w:t xml:space="preserve"> </w:t>
          </w:r>
          <w:r w:rsidR="00EA51CA">
            <w:rPr>
              <w:sz w:val="18"/>
              <w:szCs w:val="18"/>
            </w:rPr>
            <w:t>1</w:t>
          </w:r>
        </w:p>
      </w:tc>
      <w:tc>
        <w:tcPr>
          <w:tcW w:w="1183" w:type="dxa"/>
          <w:vAlign w:val="center"/>
        </w:tcPr>
        <w:p w14:paraId="7A17DA98" w14:textId="588428BE" w:rsidR="00574BEB" w:rsidRPr="00943064" w:rsidRDefault="00D2381F" w:rsidP="0017339C">
          <w:pPr>
            <w:spacing w:before="12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08</w:t>
          </w:r>
          <w:r w:rsidR="002D47EC" w:rsidRPr="00943064">
            <w:rPr>
              <w:sz w:val="18"/>
              <w:szCs w:val="18"/>
            </w:rPr>
            <w:t>/</w:t>
          </w:r>
          <w:r w:rsidRPr="00943064">
            <w:rPr>
              <w:sz w:val="18"/>
              <w:szCs w:val="18"/>
            </w:rPr>
            <w:t>0</w:t>
          </w:r>
          <w:r>
            <w:rPr>
              <w:sz w:val="18"/>
              <w:szCs w:val="18"/>
            </w:rPr>
            <w:t>8</w:t>
          </w:r>
          <w:r w:rsidR="002D47EC" w:rsidRPr="00943064">
            <w:rPr>
              <w:sz w:val="18"/>
              <w:szCs w:val="18"/>
            </w:rPr>
            <w:t>/2024</w:t>
          </w:r>
        </w:p>
      </w:tc>
      <w:tc>
        <w:tcPr>
          <w:tcW w:w="1235" w:type="dxa"/>
          <w:vAlign w:val="center"/>
        </w:tcPr>
        <w:p w14:paraId="0029F634" w14:textId="77777777" w:rsidR="00574BEB" w:rsidRPr="00943064" w:rsidRDefault="00574BEB" w:rsidP="0017339C">
          <w:pPr>
            <w:spacing w:before="120"/>
            <w:rPr>
              <w:sz w:val="18"/>
              <w:szCs w:val="18"/>
            </w:rPr>
          </w:pPr>
          <w:r w:rsidRPr="00943064">
            <w:rPr>
              <w:sz w:val="18"/>
              <w:szCs w:val="18"/>
            </w:rPr>
            <w:t xml:space="preserve">Page </w:t>
          </w:r>
          <w:r w:rsidRPr="00943064">
            <w:rPr>
              <w:sz w:val="18"/>
              <w:szCs w:val="18"/>
            </w:rPr>
            <w:fldChar w:fldCharType="begin"/>
          </w:r>
          <w:r w:rsidRPr="00943064">
            <w:rPr>
              <w:sz w:val="18"/>
              <w:szCs w:val="18"/>
            </w:rPr>
            <w:instrText>PAGE  \* Arabic  \* MERGEFORMAT</w:instrText>
          </w:r>
          <w:r w:rsidRPr="00943064">
            <w:rPr>
              <w:sz w:val="18"/>
              <w:szCs w:val="18"/>
            </w:rPr>
            <w:fldChar w:fldCharType="separate"/>
          </w:r>
          <w:r w:rsidRPr="00943064">
            <w:rPr>
              <w:sz w:val="18"/>
              <w:szCs w:val="18"/>
            </w:rPr>
            <w:t>1</w:t>
          </w:r>
          <w:r w:rsidRPr="00943064">
            <w:rPr>
              <w:sz w:val="18"/>
              <w:szCs w:val="18"/>
            </w:rPr>
            <w:fldChar w:fldCharType="end"/>
          </w:r>
          <w:r w:rsidRPr="00943064">
            <w:rPr>
              <w:sz w:val="18"/>
              <w:szCs w:val="18"/>
            </w:rPr>
            <w:t xml:space="preserve"> </w:t>
          </w:r>
          <w:proofErr w:type="spellStart"/>
          <w:r w:rsidRPr="00943064">
            <w:rPr>
              <w:sz w:val="18"/>
              <w:szCs w:val="18"/>
            </w:rPr>
            <w:t>of</w:t>
          </w:r>
          <w:proofErr w:type="spellEnd"/>
          <w:r w:rsidRPr="00943064">
            <w:rPr>
              <w:sz w:val="18"/>
              <w:szCs w:val="18"/>
            </w:rPr>
            <w:t xml:space="preserve"> </w:t>
          </w:r>
          <w:r w:rsidRPr="00943064">
            <w:rPr>
              <w:sz w:val="18"/>
              <w:szCs w:val="18"/>
            </w:rPr>
            <w:fldChar w:fldCharType="begin"/>
          </w:r>
          <w:r w:rsidRPr="00943064">
            <w:rPr>
              <w:sz w:val="18"/>
              <w:szCs w:val="18"/>
            </w:rPr>
            <w:instrText>NUMPAGES  \* Arabic  \* MERGEFORMAT</w:instrText>
          </w:r>
          <w:r w:rsidRPr="00943064">
            <w:rPr>
              <w:sz w:val="18"/>
              <w:szCs w:val="18"/>
            </w:rPr>
            <w:fldChar w:fldCharType="separate"/>
          </w:r>
          <w:r w:rsidRPr="00943064">
            <w:rPr>
              <w:sz w:val="18"/>
              <w:szCs w:val="18"/>
            </w:rPr>
            <w:t>3</w:t>
          </w:r>
          <w:r w:rsidRPr="00943064">
            <w:rPr>
              <w:sz w:val="18"/>
              <w:szCs w:val="18"/>
            </w:rPr>
            <w:fldChar w:fldCharType="end"/>
          </w:r>
        </w:p>
      </w:tc>
    </w:tr>
  </w:tbl>
  <w:p w14:paraId="21AE5560" w14:textId="77777777" w:rsidR="00574BEB" w:rsidRPr="00943064" w:rsidRDefault="00574B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E2671"/>
    <w:multiLevelType w:val="multilevel"/>
    <w:tmpl w:val="8458B564"/>
    <w:lvl w:ilvl="0">
      <w:start w:val="76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0354E93"/>
    <w:multiLevelType w:val="hybridMultilevel"/>
    <w:tmpl w:val="9B14BC0E"/>
    <w:lvl w:ilvl="0" w:tplc="139C9722">
      <w:start w:val="51"/>
      <w:numFmt w:val="bullet"/>
      <w:lvlText w:val="-"/>
      <w:lvlJc w:val="left"/>
      <w:pPr>
        <w:ind w:left="500" w:hanging="360"/>
      </w:pPr>
      <w:rPr>
        <w:rFonts w:ascii="Century Gothic" w:eastAsia="Calibri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" w15:restartNumberingAfterBreak="0">
    <w:nsid w:val="4B961094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E62C4C"/>
    <w:multiLevelType w:val="hybridMultilevel"/>
    <w:tmpl w:val="9A02B850"/>
    <w:lvl w:ilvl="0" w:tplc="2F3461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36D83"/>
    <w:multiLevelType w:val="hybridMultilevel"/>
    <w:tmpl w:val="F702D426"/>
    <w:lvl w:ilvl="0" w:tplc="F8FA3F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7125423">
    <w:abstractNumId w:val="2"/>
  </w:num>
  <w:num w:numId="2" w16cid:durableId="1844855162">
    <w:abstractNumId w:val="4"/>
  </w:num>
  <w:num w:numId="3" w16cid:durableId="2106269711">
    <w:abstractNumId w:val="3"/>
  </w:num>
  <w:num w:numId="4" w16cid:durableId="786193237">
    <w:abstractNumId w:val="1"/>
  </w:num>
  <w:num w:numId="5" w16cid:durableId="102282432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6FA"/>
    <w:rsid w:val="00003718"/>
    <w:rsid w:val="00004E85"/>
    <w:rsid w:val="00005764"/>
    <w:rsid w:val="000067CE"/>
    <w:rsid w:val="000077A0"/>
    <w:rsid w:val="0001350A"/>
    <w:rsid w:val="00016E6F"/>
    <w:rsid w:val="00022891"/>
    <w:rsid w:val="000347EB"/>
    <w:rsid w:val="00035E42"/>
    <w:rsid w:val="00041C92"/>
    <w:rsid w:val="00041F84"/>
    <w:rsid w:val="00044A98"/>
    <w:rsid w:val="00044C7F"/>
    <w:rsid w:val="00060AFA"/>
    <w:rsid w:val="00062A5A"/>
    <w:rsid w:val="000664C8"/>
    <w:rsid w:val="000677EF"/>
    <w:rsid w:val="00071FE1"/>
    <w:rsid w:val="00072637"/>
    <w:rsid w:val="00072889"/>
    <w:rsid w:val="000745F3"/>
    <w:rsid w:val="00075BF4"/>
    <w:rsid w:val="00081611"/>
    <w:rsid w:val="00081927"/>
    <w:rsid w:val="00082583"/>
    <w:rsid w:val="000845E4"/>
    <w:rsid w:val="0009004F"/>
    <w:rsid w:val="0009013D"/>
    <w:rsid w:val="00091757"/>
    <w:rsid w:val="00092746"/>
    <w:rsid w:val="0009508A"/>
    <w:rsid w:val="000975D6"/>
    <w:rsid w:val="000A0896"/>
    <w:rsid w:val="000A17CC"/>
    <w:rsid w:val="000A55E5"/>
    <w:rsid w:val="000B1F41"/>
    <w:rsid w:val="000B7B57"/>
    <w:rsid w:val="000C004D"/>
    <w:rsid w:val="000C04E9"/>
    <w:rsid w:val="000C1847"/>
    <w:rsid w:val="000C54AF"/>
    <w:rsid w:val="000D76BC"/>
    <w:rsid w:val="000E01CA"/>
    <w:rsid w:val="000E20F9"/>
    <w:rsid w:val="000E39DF"/>
    <w:rsid w:val="000E6043"/>
    <w:rsid w:val="000F21A4"/>
    <w:rsid w:val="000F2208"/>
    <w:rsid w:val="000F4363"/>
    <w:rsid w:val="001006BF"/>
    <w:rsid w:val="00101D90"/>
    <w:rsid w:val="00102EED"/>
    <w:rsid w:val="00103B1E"/>
    <w:rsid w:val="0010785E"/>
    <w:rsid w:val="001212B8"/>
    <w:rsid w:val="00122CB5"/>
    <w:rsid w:val="001235CF"/>
    <w:rsid w:val="00126B39"/>
    <w:rsid w:val="0012798F"/>
    <w:rsid w:val="0013315E"/>
    <w:rsid w:val="001337C4"/>
    <w:rsid w:val="0013529F"/>
    <w:rsid w:val="001425AC"/>
    <w:rsid w:val="0014471B"/>
    <w:rsid w:val="0016220B"/>
    <w:rsid w:val="00162904"/>
    <w:rsid w:val="0017308C"/>
    <w:rsid w:val="0017339C"/>
    <w:rsid w:val="001763D6"/>
    <w:rsid w:val="00176A60"/>
    <w:rsid w:val="001772C1"/>
    <w:rsid w:val="00181BE6"/>
    <w:rsid w:val="00181D67"/>
    <w:rsid w:val="00184A9C"/>
    <w:rsid w:val="001858BC"/>
    <w:rsid w:val="0019312A"/>
    <w:rsid w:val="00197D3E"/>
    <w:rsid w:val="001A0F9A"/>
    <w:rsid w:val="001A3D39"/>
    <w:rsid w:val="001A5759"/>
    <w:rsid w:val="001B6883"/>
    <w:rsid w:val="001D5B5D"/>
    <w:rsid w:val="001E7E24"/>
    <w:rsid w:val="001F144B"/>
    <w:rsid w:val="001F1DCD"/>
    <w:rsid w:val="001F38B4"/>
    <w:rsid w:val="00201C7D"/>
    <w:rsid w:val="00215E7B"/>
    <w:rsid w:val="00220473"/>
    <w:rsid w:val="00220557"/>
    <w:rsid w:val="002264FA"/>
    <w:rsid w:val="00227554"/>
    <w:rsid w:val="00233B89"/>
    <w:rsid w:val="00236544"/>
    <w:rsid w:val="00240E22"/>
    <w:rsid w:val="00245979"/>
    <w:rsid w:val="0025281F"/>
    <w:rsid w:val="00253FE5"/>
    <w:rsid w:val="00257E77"/>
    <w:rsid w:val="00266D58"/>
    <w:rsid w:val="002678C4"/>
    <w:rsid w:val="00271FB2"/>
    <w:rsid w:val="002749D5"/>
    <w:rsid w:val="002763CD"/>
    <w:rsid w:val="00276D21"/>
    <w:rsid w:val="00285A80"/>
    <w:rsid w:val="00286D9F"/>
    <w:rsid w:val="002A0702"/>
    <w:rsid w:val="002A48F2"/>
    <w:rsid w:val="002B2C4B"/>
    <w:rsid w:val="002B30E2"/>
    <w:rsid w:val="002B574C"/>
    <w:rsid w:val="002C08B4"/>
    <w:rsid w:val="002C502D"/>
    <w:rsid w:val="002C54C1"/>
    <w:rsid w:val="002C6805"/>
    <w:rsid w:val="002D1A50"/>
    <w:rsid w:val="002D249C"/>
    <w:rsid w:val="002D4242"/>
    <w:rsid w:val="002D461E"/>
    <w:rsid w:val="002D47EC"/>
    <w:rsid w:val="002E0F43"/>
    <w:rsid w:val="002E2FC2"/>
    <w:rsid w:val="002E30BC"/>
    <w:rsid w:val="002E3AEB"/>
    <w:rsid w:val="002E4E88"/>
    <w:rsid w:val="002F1559"/>
    <w:rsid w:val="002F2950"/>
    <w:rsid w:val="002F3054"/>
    <w:rsid w:val="002F7CAC"/>
    <w:rsid w:val="00302F0B"/>
    <w:rsid w:val="003040A4"/>
    <w:rsid w:val="00313782"/>
    <w:rsid w:val="003324FA"/>
    <w:rsid w:val="00332D72"/>
    <w:rsid w:val="003407C8"/>
    <w:rsid w:val="003408EA"/>
    <w:rsid w:val="003417A8"/>
    <w:rsid w:val="00341EAC"/>
    <w:rsid w:val="00342EAF"/>
    <w:rsid w:val="00343C38"/>
    <w:rsid w:val="003465D4"/>
    <w:rsid w:val="0035308C"/>
    <w:rsid w:val="00354C1C"/>
    <w:rsid w:val="00354F6A"/>
    <w:rsid w:val="003550B4"/>
    <w:rsid w:val="00355FC0"/>
    <w:rsid w:val="00357A6E"/>
    <w:rsid w:val="00362A11"/>
    <w:rsid w:val="00364D5D"/>
    <w:rsid w:val="003656FB"/>
    <w:rsid w:val="003673B9"/>
    <w:rsid w:val="00367B5A"/>
    <w:rsid w:val="003730DC"/>
    <w:rsid w:val="00373E56"/>
    <w:rsid w:val="003758CD"/>
    <w:rsid w:val="00386206"/>
    <w:rsid w:val="003910C1"/>
    <w:rsid w:val="00394980"/>
    <w:rsid w:val="003A1F03"/>
    <w:rsid w:val="003A3142"/>
    <w:rsid w:val="003A3815"/>
    <w:rsid w:val="003A4E5D"/>
    <w:rsid w:val="003A7BE0"/>
    <w:rsid w:val="003B02F5"/>
    <w:rsid w:val="003B033D"/>
    <w:rsid w:val="003B2B76"/>
    <w:rsid w:val="003B2F67"/>
    <w:rsid w:val="003B4CA8"/>
    <w:rsid w:val="003B6397"/>
    <w:rsid w:val="003C2C71"/>
    <w:rsid w:val="003C52DC"/>
    <w:rsid w:val="003C57BC"/>
    <w:rsid w:val="003D59B9"/>
    <w:rsid w:val="003E5324"/>
    <w:rsid w:val="003F007B"/>
    <w:rsid w:val="003F2654"/>
    <w:rsid w:val="003F456D"/>
    <w:rsid w:val="003F7515"/>
    <w:rsid w:val="003F7B0D"/>
    <w:rsid w:val="00402681"/>
    <w:rsid w:val="00404A12"/>
    <w:rsid w:val="00411C20"/>
    <w:rsid w:val="0041518A"/>
    <w:rsid w:val="0041673A"/>
    <w:rsid w:val="00416FB3"/>
    <w:rsid w:val="0042087D"/>
    <w:rsid w:val="00422DBA"/>
    <w:rsid w:val="004254AC"/>
    <w:rsid w:val="00425CF0"/>
    <w:rsid w:val="004273A4"/>
    <w:rsid w:val="0043032B"/>
    <w:rsid w:val="0043406A"/>
    <w:rsid w:val="004361D5"/>
    <w:rsid w:val="004362FC"/>
    <w:rsid w:val="004363A5"/>
    <w:rsid w:val="004606BB"/>
    <w:rsid w:val="00462F8A"/>
    <w:rsid w:val="00463621"/>
    <w:rsid w:val="0046540B"/>
    <w:rsid w:val="00466154"/>
    <w:rsid w:val="004702A4"/>
    <w:rsid w:val="00472689"/>
    <w:rsid w:val="004749E9"/>
    <w:rsid w:val="00476094"/>
    <w:rsid w:val="00482233"/>
    <w:rsid w:val="0048510E"/>
    <w:rsid w:val="00492457"/>
    <w:rsid w:val="004941B6"/>
    <w:rsid w:val="00494D71"/>
    <w:rsid w:val="00496A45"/>
    <w:rsid w:val="004A0BC8"/>
    <w:rsid w:val="004A169A"/>
    <w:rsid w:val="004A1D76"/>
    <w:rsid w:val="004A4421"/>
    <w:rsid w:val="004A47BE"/>
    <w:rsid w:val="004B09B1"/>
    <w:rsid w:val="004B1DC1"/>
    <w:rsid w:val="004B3D1C"/>
    <w:rsid w:val="004B3F17"/>
    <w:rsid w:val="004C05ED"/>
    <w:rsid w:val="004C2844"/>
    <w:rsid w:val="004C43C8"/>
    <w:rsid w:val="004D08FF"/>
    <w:rsid w:val="004D48B7"/>
    <w:rsid w:val="004D4A51"/>
    <w:rsid w:val="004D62C0"/>
    <w:rsid w:val="004F2311"/>
    <w:rsid w:val="004F2730"/>
    <w:rsid w:val="004F3BDB"/>
    <w:rsid w:val="004F48BA"/>
    <w:rsid w:val="005004D9"/>
    <w:rsid w:val="00500B22"/>
    <w:rsid w:val="00504BFB"/>
    <w:rsid w:val="005054B8"/>
    <w:rsid w:val="00507D1B"/>
    <w:rsid w:val="0051076F"/>
    <w:rsid w:val="0051490D"/>
    <w:rsid w:val="00517802"/>
    <w:rsid w:val="005178CD"/>
    <w:rsid w:val="0052187E"/>
    <w:rsid w:val="00524868"/>
    <w:rsid w:val="0052507C"/>
    <w:rsid w:val="00526304"/>
    <w:rsid w:val="005276AF"/>
    <w:rsid w:val="00552588"/>
    <w:rsid w:val="00560CA6"/>
    <w:rsid w:val="00562B65"/>
    <w:rsid w:val="00565ADC"/>
    <w:rsid w:val="00565FED"/>
    <w:rsid w:val="005709EF"/>
    <w:rsid w:val="005739F1"/>
    <w:rsid w:val="00574BEB"/>
    <w:rsid w:val="005759A4"/>
    <w:rsid w:val="00575E73"/>
    <w:rsid w:val="00583CDE"/>
    <w:rsid w:val="0059255A"/>
    <w:rsid w:val="0059495C"/>
    <w:rsid w:val="00594D0E"/>
    <w:rsid w:val="00596D83"/>
    <w:rsid w:val="005A1F09"/>
    <w:rsid w:val="005B6C8F"/>
    <w:rsid w:val="005C11DA"/>
    <w:rsid w:val="005C2493"/>
    <w:rsid w:val="005C338B"/>
    <w:rsid w:val="005C613C"/>
    <w:rsid w:val="005C6DEC"/>
    <w:rsid w:val="005D0A08"/>
    <w:rsid w:val="005D2E18"/>
    <w:rsid w:val="005D37E1"/>
    <w:rsid w:val="005D5271"/>
    <w:rsid w:val="005D719B"/>
    <w:rsid w:val="005E0028"/>
    <w:rsid w:val="005E1FB0"/>
    <w:rsid w:val="005E3EE5"/>
    <w:rsid w:val="005E5074"/>
    <w:rsid w:val="005E6A24"/>
    <w:rsid w:val="005F0F26"/>
    <w:rsid w:val="00601052"/>
    <w:rsid w:val="0060134C"/>
    <w:rsid w:val="00610434"/>
    <w:rsid w:val="00620898"/>
    <w:rsid w:val="00621543"/>
    <w:rsid w:val="0062317F"/>
    <w:rsid w:val="00635AC5"/>
    <w:rsid w:val="00642770"/>
    <w:rsid w:val="00645376"/>
    <w:rsid w:val="00662396"/>
    <w:rsid w:val="00664009"/>
    <w:rsid w:val="00674486"/>
    <w:rsid w:val="006776A6"/>
    <w:rsid w:val="00677D1B"/>
    <w:rsid w:val="00681F6F"/>
    <w:rsid w:val="00684A2B"/>
    <w:rsid w:val="006912CE"/>
    <w:rsid w:val="0069155F"/>
    <w:rsid w:val="00694983"/>
    <w:rsid w:val="00695B92"/>
    <w:rsid w:val="0069795B"/>
    <w:rsid w:val="006A115F"/>
    <w:rsid w:val="006A15E0"/>
    <w:rsid w:val="006A31CB"/>
    <w:rsid w:val="006A4FB8"/>
    <w:rsid w:val="006A519A"/>
    <w:rsid w:val="006B0257"/>
    <w:rsid w:val="006B0381"/>
    <w:rsid w:val="006B08CC"/>
    <w:rsid w:val="006B1C57"/>
    <w:rsid w:val="006B4E72"/>
    <w:rsid w:val="006B58AF"/>
    <w:rsid w:val="006B76D7"/>
    <w:rsid w:val="006B7833"/>
    <w:rsid w:val="006C61A7"/>
    <w:rsid w:val="006C74C4"/>
    <w:rsid w:val="006D5A6A"/>
    <w:rsid w:val="006E3704"/>
    <w:rsid w:val="006E4BEA"/>
    <w:rsid w:val="006F0F16"/>
    <w:rsid w:val="006F12F2"/>
    <w:rsid w:val="006F543A"/>
    <w:rsid w:val="006F6CEC"/>
    <w:rsid w:val="00701551"/>
    <w:rsid w:val="00704C3F"/>
    <w:rsid w:val="007106E5"/>
    <w:rsid w:val="00711C94"/>
    <w:rsid w:val="00714265"/>
    <w:rsid w:val="00714FAD"/>
    <w:rsid w:val="007161C9"/>
    <w:rsid w:val="007216E3"/>
    <w:rsid w:val="00722284"/>
    <w:rsid w:val="0072387B"/>
    <w:rsid w:val="00724221"/>
    <w:rsid w:val="007309D0"/>
    <w:rsid w:val="00732952"/>
    <w:rsid w:val="00746F2B"/>
    <w:rsid w:val="007507DC"/>
    <w:rsid w:val="007577E9"/>
    <w:rsid w:val="00760B51"/>
    <w:rsid w:val="00760EDD"/>
    <w:rsid w:val="00770165"/>
    <w:rsid w:val="00771534"/>
    <w:rsid w:val="007742BE"/>
    <w:rsid w:val="0077603A"/>
    <w:rsid w:val="0077639C"/>
    <w:rsid w:val="007819E4"/>
    <w:rsid w:val="007834B1"/>
    <w:rsid w:val="00790E50"/>
    <w:rsid w:val="007920FE"/>
    <w:rsid w:val="00797FC5"/>
    <w:rsid w:val="007A656B"/>
    <w:rsid w:val="007A6589"/>
    <w:rsid w:val="007A749D"/>
    <w:rsid w:val="007B1158"/>
    <w:rsid w:val="007B7B21"/>
    <w:rsid w:val="007C1DC6"/>
    <w:rsid w:val="007C456A"/>
    <w:rsid w:val="007D0F95"/>
    <w:rsid w:val="007D3D48"/>
    <w:rsid w:val="007D5BCC"/>
    <w:rsid w:val="007D6FAC"/>
    <w:rsid w:val="007E141A"/>
    <w:rsid w:val="007E50FB"/>
    <w:rsid w:val="007E58F2"/>
    <w:rsid w:val="007E6621"/>
    <w:rsid w:val="007E7CA9"/>
    <w:rsid w:val="007F0320"/>
    <w:rsid w:val="007F1DAA"/>
    <w:rsid w:val="007F4698"/>
    <w:rsid w:val="008013AD"/>
    <w:rsid w:val="00802A92"/>
    <w:rsid w:val="00806B03"/>
    <w:rsid w:val="0081204C"/>
    <w:rsid w:val="00815ED9"/>
    <w:rsid w:val="00816678"/>
    <w:rsid w:val="008328E6"/>
    <w:rsid w:val="00833609"/>
    <w:rsid w:val="00835AF8"/>
    <w:rsid w:val="00854E55"/>
    <w:rsid w:val="0085578A"/>
    <w:rsid w:val="00857D36"/>
    <w:rsid w:val="00857E76"/>
    <w:rsid w:val="00860292"/>
    <w:rsid w:val="0086080D"/>
    <w:rsid w:val="00860D54"/>
    <w:rsid w:val="008622B1"/>
    <w:rsid w:val="008632BC"/>
    <w:rsid w:val="00864D91"/>
    <w:rsid w:val="008651E7"/>
    <w:rsid w:val="00871510"/>
    <w:rsid w:val="00873587"/>
    <w:rsid w:val="00875362"/>
    <w:rsid w:val="00876ADF"/>
    <w:rsid w:val="0088487D"/>
    <w:rsid w:val="00886B07"/>
    <w:rsid w:val="00892DA9"/>
    <w:rsid w:val="008A6EC0"/>
    <w:rsid w:val="008A7272"/>
    <w:rsid w:val="008A739C"/>
    <w:rsid w:val="008B1885"/>
    <w:rsid w:val="008B1AE0"/>
    <w:rsid w:val="008B1F6F"/>
    <w:rsid w:val="008B7F4D"/>
    <w:rsid w:val="008C2DF6"/>
    <w:rsid w:val="008D44EA"/>
    <w:rsid w:val="008D5DE0"/>
    <w:rsid w:val="008D763D"/>
    <w:rsid w:val="008E32C9"/>
    <w:rsid w:val="008E60AD"/>
    <w:rsid w:val="008F49BF"/>
    <w:rsid w:val="008F6C4D"/>
    <w:rsid w:val="0090376A"/>
    <w:rsid w:val="00910AA6"/>
    <w:rsid w:val="00916DE0"/>
    <w:rsid w:val="009230AD"/>
    <w:rsid w:val="009327B1"/>
    <w:rsid w:val="009336B3"/>
    <w:rsid w:val="00934230"/>
    <w:rsid w:val="00943064"/>
    <w:rsid w:val="00944984"/>
    <w:rsid w:val="00945ECF"/>
    <w:rsid w:val="00951254"/>
    <w:rsid w:val="009542FE"/>
    <w:rsid w:val="0095637B"/>
    <w:rsid w:val="00966831"/>
    <w:rsid w:val="00972300"/>
    <w:rsid w:val="009839C7"/>
    <w:rsid w:val="00983C73"/>
    <w:rsid w:val="00986166"/>
    <w:rsid w:val="00987E33"/>
    <w:rsid w:val="0099151E"/>
    <w:rsid w:val="00993525"/>
    <w:rsid w:val="009A3EA9"/>
    <w:rsid w:val="009A7673"/>
    <w:rsid w:val="009B149D"/>
    <w:rsid w:val="009B2AC4"/>
    <w:rsid w:val="009B6A0B"/>
    <w:rsid w:val="009C49D1"/>
    <w:rsid w:val="009C6936"/>
    <w:rsid w:val="009D2F9A"/>
    <w:rsid w:val="009E10C3"/>
    <w:rsid w:val="009E3528"/>
    <w:rsid w:val="009E3659"/>
    <w:rsid w:val="009E372A"/>
    <w:rsid w:val="009E4035"/>
    <w:rsid w:val="009E6D8C"/>
    <w:rsid w:val="009E7FE2"/>
    <w:rsid w:val="009F2A93"/>
    <w:rsid w:val="009F4225"/>
    <w:rsid w:val="009F6283"/>
    <w:rsid w:val="00A00292"/>
    <w:rsid w:val="00A02E55"/>
    <w:rsid w:val="00A0573E"/>
    <w:rsid w:val="00A0679B"/>
    <w:rsid w:val="00A117FC"/>
    <w:rsid w:val="00A12D7A"/>
    <w:rsid w:val="00A16011"/>
    <w:rsid w:val="00A16EBC"/>
    <w:rsid w:val="00A21091"/>
    <w:rsid w:val="00A21EE3"/>
    <w:rsid w:val="00A22E3C"/>
    <w:rsid w:val="00A22ED2"/>
    <w:rsid w:val="00A26B49"/>
    <w:rsid w:val="00A300E7"/>
    <w:rsid w:val="00A359CF"/>
    <w:rsid w:val="00A37F90"/>
    <w:rsid w:val="00A40C28"/>
    <w:rsid w:val="00A41688"/>
    <w:rsid w:val="00A50404"/>
    <w:rsid w:val="00A50DE1"/>
    <w:rsid w:val="00A5386B"/>
    <w:rsid w:val="00A56A02"/>
    <w:rsid w:val="00A63C0F"/>
    <w:rsid w:val="00A66111"/>
    <w:rsid w:val="00A67F09"/>
    <w:rsid w:val="00A73039"/>
    <w:rsid w:val="00A737AA"/>
    <w:rsid w:val="00A75CE0"/>
    <w:rsid w:val="00A81E2E"/>
    <w:rsid w:val="00A844EA"/>
    <w:rsid w:val="00A87D33"/>
    <w:rsid w:val="00A9181B"/>
    <w:rsid w:val="00A91F5F"/>
    <w:rsid w:val="00A92724"/>
    <w:rsid w:val="00AB145D"/>
    <w:rsid w:val="00AB2F3F"/>
    <w:rsid w:val="00AD49AC"/>
    <w:rsid w:val="00AE7F11"/>
    <w:rsid w:val="00AF2A71"/>
    <w:rsid w:val="00AF41FF"/>
    <w:rsid w:val="00AF548F"/>
    <w:rsid w:val="00B00071"/>
    <w:rsid w:val="00B00862"/>
    <w:rsid w:val="00B1371C"/>
    <w:rsid w:val="00B209AF"/>
    <w:rsid w:val="00B21E3B"/>
    <w:rsid w:val="00B25ACD"/>
    <w:rsid w:val="00B26E68"/>
    <w:rsid w:val="00B3058C"/>
    <w:rsid w:val="00B34239"/>
    <w:rsid w:val="00B37E9C"/>
    <w:rsid w:val="00B41D17"/>
    <w:rsid w:val="00B4297B"/>
    <w:rsid w:val="00B43C8F"/>
    <w:rsid w:val="00B5119F"/>
    <w:rsid w:val="00B51A9B"/>
    <w:rsid w:val="00B61947"/>
    <w:rsid w:val="00B63BFB"/>
    <w:rsid w:val="00B676FA"/>
    <w:rsid w:val="00B767A8"/>
    <w:rsid w:val="00B80212"/>
    <w:rsid w:val="00B806A2"/>
    <w:rsid w:val="00B80BE0"/>
    <w:rsid w:val="00B8479F"/>
    <w:rsid w:val="00B8608E"/>
    <w:rsid w:val="00B92356"/>
    <w:rsid w:val="00B9340B"/>
    <w:rsid w:val="00B95D45"/>
    <w:rsid w:val="00BA5286"/>
    <w:rsid w:val="00BA5FB0"/>
    <w:rsid w:val="00BB0A05"/>
    <w:rsid w:val="00BB13B7"/>
    <w:rsid w:val="00BB1621"/>
    <w:rsid w:val="00BB2FE7"/>
    <w:rsid w:val="00BB3EDC"/>
    <w:rsid w:val="00BB7E70"/>
    <w:rsid w:val="00BC2BEC"/>
    <w:rsid w:val="00BD0965"/>
    <w:rsid w:val="00BD3816"/>
    <w:rsid w:val="00BD7662"/>
    <w:rsid w:val="00BD7AA8"/>
    <w:rsid w:val="00BE180B"/>
    <w:rsid w:val="00BE27C9"/>
    <w:rsid w:val="00BF34F0"/>
    <w:rsid w:val="00BF58B1"/>
    <w:rsid w:val="00C0594C"/>
    <w:rsid w:val="00C06210"/>
    <w:rsid w:val="00C13CDC"/>
    <w:rsid w:val="00C164F8"/>
    <w:rsid w:val="00C1653C"/>
    <w:rsid w:val="00C16E78"/>
    <w:rsid w:val="00C2195F"/>
    <w:rsid w:val="00C23500"/>
    <w:rsid w:val="00C256E8"/>
    <w:rsid w:val="00C33FA9"/>
    <w:rsid w:val="00C34838"/>
    <w:rsid w:val="00C34B18"/>
    <w:rsid w:val="00C34B48"/>
    <w:rsid w:val="00C36AE0"/>
    <w:rsid w:val="00C37880"/>
    <w:rsid w:val="00C40AE6"/>
    <w:rsid w:val="00C415DF"/>
    <w:rsid w:val="00C42D28"/>
    <w:rsid w:val="00C471EF"/>
    <w:rsid w:val="00C55BA4"/>
    <w:rsid w:val="00C632AF"/>
    <w:rsid w:val="00C6789E"/>
    <w:rsid w:val="00C729F0"/>
    <w:rsid w:val="00C737C2"/>
    <w:rsid w:val="00C7412E"/>
    <w:rsid w:val="00C81C92"/>
    <w:rsid w:val="00C82275"/>
    <w:rsid w:val="00C85302"/>
    <w:rsid w:val="00C90B8B"/>
    <w:rsid w:val="00C924EB"/>
    <w:rsid w:val="00C938E1"/>
    <w:rsid w:val="00C94858"/>
    <w:rsid w:val="00C96565"/>
    <w:rsid w:val="00C9740E"/>
    <w:rsid w:val="00CA2DFC"/>
    <w:rsid w:val="00CB3110"/>
    <w:rsid w:val="00CC2866"/>
    <w:rsid w:val="00CC7E60"/>
    <w:rsid w:val="00CD1813"/>
    <w:rsid w:val="00CD2E8C"/>
    <w:rsid w:val="00CD4F49"/>
    <w:rsid w:val="00CE1A25"/>
    <w:rsid w:val="00CE49C4"/>
    <w:rsid w:val="00CE542D"/>
    <w:rsid w:val="00CF4780"/>
    <w:rsid w:val="00CF6B9F"/>
    <w:rsid w:val="00D00432"/>
    <w:rsid w:val="00D017DE"/>
    <w:rsid w:val="00D07EC4"/>
    <w:rsid w:val="00D11537"/>
    <w:rsid w:val="00D12CE0"/>
    <w:rsid w:val="00D1714F"/>
    <w:rsid w:val="00D17CFD"/>
    <w:rsid w:val="00D2381F"/>
    <w:rsid w:val="00D251B9"/>
    <w:rsid w:val="00D326E5"/>
    <w:rsid w:val="00D33857"/>
    <w:rsid w:val="00D35745"/>
    <w:rsid w:val="00D4043A"/>
    <w:rsid w:val="00D471D5"/>
    <w:rsid w:val="00D6214D"/>
    <w:rsid w:val="00D6481E"/>
    <w:rsid w:val="00D65FFF"/>
    <w:rsid w:val="00D720F7"/>
    <w:rsid w:val="00D73CCB"/>
    <w:rsid w:val="00D76E64"/>
    <w:rsid w:val="00D81F31"/>
    <w:rsid w:val="00D82695"/>
    <w:rsid w:val="00D928A5"/>
    <w:rsid w:val="00D9434C"/>
    <w:rsid w:val="00DA31E8"/>
    <w:rsid w:val="00DA6181"/>
    <w:rsid w:val="00DA69D1"/>
    <w:rsid w:val="00DB1896"/>
    <w:rsid w:val="00DB31C6"/>
    <w:rsid w:val="00DB511C"/>
    <w:rsid w:val="00DC5D60"/>
    <w:rsid w:val="00DD4A9E"/>
    <w:rsid w:val="00DE31E7"/>
    <w:rsid w:val="00DF0ADC"/>
    <w:rsid w:val="00DF0C08"/>
    <w:rsid w:val="00DF7F6A"/>
    <w:rsid w:val="00E001DF"/>
    <w:rsid w:val="00E024DE"/>
    <w:rsid w:val="00E05F7A"/>
    <w:rsid w:val="00E10BFA"/>
    <w:rsid w:val="00E10E17"/>
    <w:rsid w:val="00E11357"/>
    <w:rsid w:val="00E13520"/>
    <w:rsid w:val="00E1696F"/>
    <w:rsid w:val="00E17CAE"/>
    <w:rsid w:val="00E20DF0"/>
    <w:rsid w:val="00E2759A"/>
    <w:rsid w:val="00E27E50"/>
    <w:rsid w:val="00E34BA2"/>
    <w:rsid w:val="00E373C0"/>
    <w:rsid w:val="00E37A5A"/>
    <w:rsid w:val="00E40981"/>
    <w:rsid w:val="00E43A91"/>
    <w:rsid w:val="00E45882"/>
    <w:rsid w:val="00E61FEA"/>
    <w:rsid w:val="00E63101"/>
    <w:rsid w:val="00E70B11"/>
    <w:rsid w:val="00E738C8"/>
    <w:rsid w:val="00E85EA7"/>
    <w:rsid w:val="00E870EA"/>
    <w:rsid w:val="00E87248"/>
    <w:rsid w:val="00E918DD"/>
    <w:rsid w:val="00EA096D"/>
    <w:rsid w:val="00EA22B3"/>
    <w:rsid w:val="00EA51CA"/>
    <w:rsid w:val="00EA5C69"/>
    <w:rsid w:val="00EB0275"/>
    <w:rsid w:val="00EB0997"/>
    <w:rsid w:val="00EB4BF6"/>
    <w:rsid w:val="00EC0F9A"/>
    <w:rsid w:val="00EC2327"/>
    <w:rsid w:val="00EC762A"/>
    <w:rsid w:val="00ED7FA0"/>
    <w:rsid w:val="00EE0E0D"/>
    <w:rsid w:val="00EE32F0"/>
    <w:rsid w:val="00EE62F8"/>
    <w:rsid w:val="00EF1705"/>
    <w:rsid w:val="00EF19E9"/>
    <w:rsid w:val="00EF1C8C"/>
    <w:rsid w:val="00EF3FDF"/>
    <w:rsid w:val="00EF526A"/>
    <w:rsid w:val="00F04DD0"/>
    <w:rsid w:val="00F0551D"/>
    <w:rsid w:val="00F056E0"/>
    <w:rsid w:val="00F07799"/>
    <w:rsid w:val="00F112A7"/>
    <w:rsid w:val="00F11B92"/>
    <w:rsid w:val="00F13DEC"/>
    <w:rsid w:val="00F14DC9"/>
    <w:rsid w:val="00F14F83"/>
    <w:rsid w:val="00F17CF2"/>
    <w:rsid w:val="00F20AA1"/>
    <w:rsid w:val="00F26ACC"/>
    <w:rsid w:val="00F26B75"/>
    <w:rsid w:val="00F3227D"/>
    <w:rsid w:val="00F322EA"/>
    <w:rsid w:val="00F346FA"/>
    <w:rsid w:val="00F34891"/>
    <w:rsid w:val="00F35B53"/>
    <w:rsid w:val="00F37164"/>
    <w:rsid w:val="00F40DDC"/>
    <w:rsid w:val="00F43A53"/>
    <w:rsid w:val="00F43F73"/>
    <w:rsid w:val="00F508BC"/>
    <w:rsid w:val="00F50BA2"/>
    <w:rsid w:val="00F51DFD"/>
    <w:rsid w:val="00F5449B"/>
    <w:rsid w:val="00F553A3"/>
    <w:rsid w:val="00F61D71"/>
    <w:rsid w:val="00F61E42"/>
    <w:rsid w:val="00F673B0"/>
    <w:rsid w:val="00F7046F"/>
    <w:rsid w:val="00F747F5"/>
    <w:rsid w:val="00F74FA6"/>
    <w:rsid w:val="00F80F30"/>
    <w:rsid w:val="00F87429"/>
    <w:rsid w:val="00F9381B"/>
    <w:rsid w:val="00F95879"/>
    <w:rsid w:val="00F95900"/>
    <w:rsid w:val="00F96A64"/>
    <w:rsid w:val="00FA34AB"/>
    <w:rsid w:val="00FA6596"/>
    <w:rsid w:val="00FB1F1F"/>
    <w:rsid w:val="00FB3085"/>
    <w:rsid w:val="00FC79FA"/>
    <w:rsid w:val="00FD370F"/>
    <w:rsid w:val="00FE19F9"/>
    <w:rsid w:val="00FF26A5"/>
    <w:rsid w:val="00FF5CA0"/>
    <w:rsid w:val="0A5CF4C9"/>
    <w:rsid w:val="5AF77B26"/>
    <w:rsid w:val="7DA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8CA54"/>
  <w15:chartTrackingRefBased/>
  <w15:docId w15:val="{AAA706CE-ED4E-4C16-B236-A45576CB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5E0"/>
    <w:pPr>
      <w:spacing w:before="240" w:after="0" w:line="240" w:lineRule="auto"/>
      <w:jc w:val="both"/>
    </w:pPr>
    <w:rPr>
      <w:rFonts w:ascii="Calibri" w:hAnsi="Calibri" w:cs="Calibri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85EA7"/>
    <w:pPr>
      <w:keepNext/>
      <w:keepLines/>
      <w:numPr>
        <w:numId w:val="1"/>
      </w:numPr>
      <w:spacing w:after="120"/>
      <w:outlineLvl w:val="0"/>
    </w:pPr>
    <w:rPr>
      <w:rFonts w:asciiTheme="minorHAnsi" w:eastAsiaTheme="majorEastAsia" w:hAnsiTheme="minorHAnsi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22EA"/>
    <w:pPr>
      <w:keepNext/>
      <w:keepLines/>
      <w:numPr>
        <w:ilvl w:val="1"/>
        <w:numId w:val="1"/>
      </w:numPr>
      <w:spacing w:after="12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322EA"/>
    <w:pPr>
      <w:keepNext/>
      <w:keepLines/>
      <w:numPr>
        <w:ilvl w:val="2"/>
        <w:numId w:val="1"/>
      </w:numPr>
      <w:spacing w:after="120"/>
      <w:outlineLvl w:val="2"/>
    </w:pPr>
    <w:rPr>
      <w:rFonts w:asciiTheme="minorHAnsi" w:eastAsiaTheme="majorEastAsia" w:hAnsiTheme="min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5EA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5EA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5EA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5EA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5EA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5EA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5EA7"/>
    <w:rPr>
      <w:rFonts w:asciiTheme="minorHAnsi" w:hAnsiTheme="minorHAnsi" w:cstheme="minorHAnsi"/>
    </w:rPr>
  </w:style>
  <w:style w:type="character" w:styleId="Hipervnculo">
    <w:name w:val="Hyperlink"/>
    <w:basedOn w:val="Fuentedeprrafopredeter"/>
    <w:uiPriority w:val="99"/>
    <w:unhideWhenUsed/>
    <w:rsid w:val="004702A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02A4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0C18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1847"/>
    <w:rPr>
      <w:rFonts w:ascii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qFormat/>
    <w:rsid w:val="002678C4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78C4"/>
    <w:rPr>
      <w:rFonts w:ascii="Calibri" w:hAnsi="Calibri" w:cs="Calibri"/>
      <w:sz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F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F09"/>
    <w:rPr>
      <w:rFonts w:ascii="Segoe UI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06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753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536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5362"/>
    <w:rPr>
      <w:rFonts w:ascii="Calibri" w:hAnsi="Calibri" w:cs="Calibri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53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5362"/>
    <w:rPr>
      <w:rFonts w:ascii="Calibri" w:hAnsi="Calibri" w:cs="Calibri"/>
      <w:b/>
      <w:bCs/>
      <w:sz w:val="20"/>
      <w:szCs w:val="20"/>
      <w:lang w:eastAsia="es-ES"/>
    </w:rPr>
  </w:style>
  <w:style w:type="character" w:styleId="nfasisintenso">
    <w:name w:val="Intense Emphasis"/>
    <w:basedOn w:val="Fuentedeprrafopredeter"/>
    <w:uiPriority w:val="21"/>
    <w:rsid w:val="00285A80"/>
    <w:rPr>
      <w:i/>
      <w:i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85EA7"/>
    <w:rPr>
      <w:rFonts w:eastAsiaTheme="majorEastAsia" w:cstheme="majorBidi"/>
      <w:b/>
      <w:caps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322EA"/>
    <w:rPr>
      <w:rFonts w:eastAsiaTheme="majorEastAsia" w:cstheme="majorBidi"/>
      <w:b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322EA"/>
    <w:rPr>
      <w:rFonts w:eastAsiaTheme="majorEastAsia" w:cstheme="majorBidi"/>
      <w:i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5EA7"/>
    <w:rPr>
      <w:rFonts w:asciiTheme="majorHAnsi" w:eastAsiaTheme="majorEastAsia" w:hAnsiTheme="majorHAnsi" w:cstheme="majorBidi"/>
      <w:i/>
      <w:iCs/>
      <w:color w:val="2F5496" w:themeColor="accent1" w:themeShade="BF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5EA7"/>
    <w:rPr>
      <w:rFonts w:asciiTheme="majorHAnsi" w:eastAsiaTheme="majorEastAsia" w:hAnsiTheme="majorHAnsi" w:cstheme="majorBidi"/>
      <w:color w:val="2F5496" w:themeColor="accent1" w:themeShade="BF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5EA7"/>
    <w:rPr>
      <w:rFonts w:asciiTheme="majorHAnsi" w:eastAsiaTheme="majorEastAsia" w:hAnsiTheme="majorHAnsi" w:cstheme="majorBidi"/>
      <w:color w:val="1F3763" w:themeColor="accent1" w:themeShade="7F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5EA7"/>
    <w:rPr>
      <w:rFonts w:asciiTheme="majorHAnsi" w:eastAsiaTheme="majorEastAsia" w:hAnsiTheme="majorHAnsi" w:cstheme="majorBidi"/>
      <w:i/>
      <w:iCs/>
      <w:color w:val="1F3763" w:themeColor="accent1" w:themeShade="7F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5E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5E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26304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64D91"/>
    <w:pPr>
      <w:tabs>
        <w:tab w:val="left" w:pos="567"/>
        <w:tab w:val="right" w:leader="dot" w:pos="9072"/>
      </w:tabs>
      <w:spacing w:after="100"/>
    </w:pPr>
    <w:rPr>
      <w:b/>
      <w:caps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AB145D"/>
    <w:pPr>
      <w:tabs>
        <w:tab w:val="left" w:pos="880"/>
        <w:tab w:val="right" w:leader="dot" w:pos="906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526304"/>
    <w:pPr>
      <w:spacing w:after="100"/>
      <w:ind w:left="440"/>
    </w:pPr>
  </w:style>
  <w:style w:type="character" w:styleId="Mencinsinresolver">
    <w:name w:val="Unresolved Mention"/>
    <w:basedOn w:val="Fuentedeprrafopredeter"/>
    <w:uiPriority w:val="99"/>
    <w:semiHidden/>
    <w:unhideWhenUsed/>
    <w:rsid w:val="00802A92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10BFA"/>
    <w:pPr>
      <w:spacing w:before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10BFA"/>
    <w:rPr>
      <w:rFonts w:ascii="Calibri" w:hAnsi="Calibri" w:cs="Calibri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10BF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0BFA"/>
    <w:pPr>
      <w:spacing w:before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0BFA"/>
    <w:rPr>
      <w:rFonts w:ascii="Calibri" w:hAnsi="Calibri" w:cs="Calibri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10BFA"/>
    <w:rPr>
      <w:vertAlign w:val="superscript"/>
    </w:rPr>
  </w:style>
  <w:style w:type="paragraph" w:styleId="Revisin">
    <w:name w:val="Revision"/>
    <w:hidden/>
    <w:uiPriority w:val="99"/>
    <w:semiHidden/>
    <w:rsid w:val="00DB31C6"/>
    <w:pPr>
      <w:spacing w:after="0" w:line="240" w:lineRule="auto"/>
    </w:pPr>
    <w:rPr>
      <w:rFonts w:ascii="Calibri" w:hAnsi="Calibri" w:cs="Calibri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005764"/>
    <w:pPr>
      <w:widowControl w:val="0"/>
      <w:autoSpaceDE w:val="0"/>
      <w:autoSpaceDN w:val="0"/>
      <w:spacing w:before="0"/>
      <w:jc w:val="left"/>
    </w:pPr>
    <w:rPr>
      <w:rFonts w:eastAsia="Calibr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576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fanarenergia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C18FBAC930B479506296310E4E266" ma:contentTypeVersion="6" ma:contentTypeDescription="Create a new document." ma:contentTypeScope="" ma:versionID="1240bd09946a28b63641eb16159a6a40">
  <xsd:schema xmlns:xsd="http://www.w3.org/2001/XMLSchema" xmlns:xs="http://www.w3.org/2001/XMLSchema" xmlns:p="http://schemas.microsoft.com/office/2006/metadata/properties" xmlns:ns2="68101b96-173e-4f9b-ad3a-28fb27d760ff" xmlns:ns3="1b9b79b9-dcdb-4c41-af53-ea23594f37fa" targetNamespace="http://schemas.microsoft.com/office/2006/metadata/properties" ma:root="true" ma:fieldsID="0f281036fdca8a0a89ddd40d21ac585d" ns2:_="" ns3:_="">
    <xsd:import namespace="68101b96-173e-4f9b-ad3a-28fb27d760ff"/>
    <xsd:import namespace="1b9b79b9-dcdb-4c41-af53-ea23594f3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1b96-173e-4f9b-ad3a-28fb27d76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b79b9-dcdb-4c41-af53-ea23594f3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2F299C-FA30-43D9-8AEC-A14649102D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CEB5A9-5904-4382-BB9A-4C6FA38FFE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5FD905-728A-4445-94CB-D0796B4C6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01b96-173e-4f9b-ad3a-28fb27d760ff"/>
    <ds:schemaRef ds:uri="1b9b79b9-dcdb-4c41-af53-ea23594f3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0C875D-F801-4039-8ABB-67551B675E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892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Blanco Sotorrío</dc:creator>
  <cp:keywords/>
  <dc:description/>
  <cp:lastModifiedBy>Rafael Cardoso</cp:lastModifiedBy>
  <cp:revision>12</cp:revision>
  <cp:lastPrinted>2024-04-09T14:58:00Z</cp:lastPrinted>
  <dcterms:created xsi:type="dcterms:W3CDTF">2024-06-27T17:15:00Z</dcterms:created>
  <dcterms:modified xsi:type="dcterms:W3CDTF">2024-08-08T15:11:00Z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657f97-89a6-435b-b186-4ebe53e31124_Enabled">
    <vt:lpwstr>True</vt:lpwstr>
  </property>
  <property fmtid="{D5CDD505-2E9C-101B-9397-08002B2CF9AE}" pid="3" name="MSIP_Label_82657f97-89a6-435b-b186-4ebe53e31124_SiteId">
    <vt:lpwstr>947d9dbe-5f08-4416-96a9-8468f7f8299e</vt:lpwstr>
  </property>
  <property fmtid="{D5CDD505-2E9C-101B-9397-08002B2CF9AE}" pid="4" name="MSIP_Label_82657f97-89a6-435b-b186-4ebe53e31124_Owner">
    <vt:lpwstr>josecarlos.garcia@alfanar.com</vt:lpwstr>
  </property>
  <property fmtid="{D5CDD505-2E9C-101B-9397-08002B2CF9AE}" pid="5" name="MSIP_Label_82657f97-89a6-435b-b186-4ebe53e31124_SetDate">
    <vt:lpwstr>2019-04-05T11:03:47.3494372Z</vt:lpwstr>
  </property>
  <property fmtid="{D5CDD505-2E9C-101B-9397-08002B2CF9AE}" pid="6" name="MSIP_Label_82657f97-89a6-435b-b186-4ebe53e31124_Name">
    <vt:lpwstr>PUBLIC</vt:lpwstr>
  </property>
  <property fmtid="{D5CDD505-2E9C-101B-9397-08002B2CF9AE}" pid="7" name="MSIP_Label_82657f97-89a6-435b-b186-4ebe53e31124_Application">
    <vt:lpwstr>Microsoft Azure Information Protection</vt:lpwstr>
  </property>
  <property fmtid="{D5CDD505-2E9C-101B-9397-08002B2CF9AE}" pid="8" name="MSIP_Label_82657f97-89a6-435b-b186-4ebe53e31124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0x0101005DDC18FBAC930B479506296310E4E266</vt:lpwstr>
  </property>
</Properties>
</file>